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40" w:before="0"/>
      </w:pPr>
      <w:r>
        <w:rPr>
          <w:rFonts w:ascii="Arial" w:cs="Arial" w:eastAsia="Arial" w:hAnsi="Arial"/>
          <w:b/>
          <w:bCs/>
          <w:color w:val="B8973A"/>
          <w:sz w:val="16"/>
          <w:szCs w:val="16"/>
        </w:rPr>
        <w:t xml:space="preserve">MUTABIQ ALERTS  ·  TEMPLATE</w:t>
      </w:r>
    </w:p>
    <w:p>
      <w:pPr>
        <w:spacing w:after="80"/>
      </w:pPr>
      <w:r>
        <w:rPr>
          <w:rFonts w:ascii="Arial" w:cs="Arial" w:eastAsia="Arial" w:hAnsi="Arial"/>
          <w:b/>
          <w:bCs/>
          <w:color w:val="1A1A18"/>
          <w:sz w:val="38"/>
          <w:szCs w:val="38"/>
        </w:rPr>
        <w:t xml:space="preserve">Label Approval SOP</w:t>
      </w:r>
    </w:p>
    <w:p>
      <w:pPr>
        <w:pBdr>
          <w:bottom w:val="single" w:color="B8973A" w:sz="12" w:space="6"/>
        </w:pBdr>
        <w:spacing w:after="200"/>
      </w:pPr>
      <w:r>
        <w:rPr>
          <w:rFonts w:ascii="Arial" w:cs="Arial" w:eastAsia="Arial" w:hAnsi="Arial"/>
          <w:color w:val="6B6B5F"/>
          <w:sz w:val="20"/>
          <w:szCs w:val="20"/>
        </w:rPr>
        <w:t xml:space="preserve">Prepackaged food for Kuwait, Bahrain, Oman and the UAE · English pack with Arabic sticker, or bilingual pack</w:t>
      </w:r>
    </w:p>
    <w:p>
      <w:pPr>
        <w:spacing w:after="160" w:before="0"/>
      </w:pPr>
      <w:r>
        <w:rPr>
          <w:rFonts w:ascii="Arial" w:cs="Arial" w:eastAsia="Arial" w:hAnsi="Arial"/>
          <w:b/>
          <w:bCs/>
          <w:sz w:val="20"/>
          <w:szCs w:val="20"/>
        </w:rPr>
        <w:t xml:space="preserve">How to use this template: </w:t>
      </w:r>
      <w:r>
        <w:rPr>
          <w:rFonts w:ascii="Arial" w:cs="Arial" w:eastAsia="Arial" w:hAnsi="Arial"/>
          <w:sz w:val="20"/>
          <w:szCs w:val="20"/>
        </w:rPr>
        <w:t xml:space="preserve">replace the grey [bracketed] text and the shaded cells with your own details. </w:t>
      </w:r>
      <w:r>
        <w:rPr>
          <w:rFonts w:ascii="Arial" w:cs="Arial" w:eastAsia="Arial" w:hAnsi="Arial"/>
          <w:b/>
          <w:bCs/>
          <w:sz w:val="20"/>
          <w:szCs w:val="20"/>
        </w:rPr>
        <w:t xml:space="preserve">Source strength: </w:t>
      </w:r>
      <w:r>
        <w:rPr>
          <w:rFonts w:ascii="Arial" w:cs="Arial" w:eastAsia="Arial" w:hAnsi="Arial"/>
          <w:sz w:val="20"/>
          <w:szCs w:val="20"/>
        </w:rPr>
        <w:t xml:space="preserve">[Official text] = read in the regulation itself · [Official summary] = quoted in an official government publication (e.g. USDA FAS) · [Verify] = confirm with your importer or the authority.</w:t>
      </w:r>
    </w:p>
    <w:tbl>
      <w:tblPr>
        <w:tblW w:type="dxa" w:w="9638"/>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2699"/>
        <w:gridCol w:w="6939"/>
      </w:tblGrid>
      <w:tr>
        <w:trPr>
          <w:cantSplit/>
        </w:trPr>
        <w:tc>
          <w:tcPr>
            <w:tcW w:type="dxa" w:w="2699"/>
            <w:tcBorders>
              <w:top w:val="single" w:color="D8D4C8" w:sz="4"/>
              <w:left w:val="single" w:color="D8D4C8" w:sz="4"/>
              <w:bottom w:val="single" w:color="D8D4C8" w:sz="4"/>
              <w:right w:val="single" w:color="D8D4C8" w:sz="4"/>
            </w:tcBorders>
            <w:shd w:fill="EEEAE0" w:color="auto" w:val="clear"/>
            <w:tcMar>
              <w:top w:type="dxa" w:w="70"/>
              <w:left w:type="dxa" w:w="90"/>
              <w:bottom w:type="dxa" w:w="70"/>
              <w:right w:type="dxa" w:w="90"/>
            </w:tcMar>
          </w:tcPr>
          <w:p>
            <w:r>
              <w:rPr>
                <w:rFonts w:ascii="Arial" w:cs="Arial" w:eastAsia="Arial" w:hAnsi="Arial"/>
                <w:b/>
                <w:bCs/>
                <w:sz w:val="17"/>
                <w:szCs w:val="17"/>
              </w:rPr>
              <w:t xml:space="preserve">Company</w:t>
            </w:r>
          </w:p>
        </w:tc>
        <w:tc>
          <w:tcPr>
            <w:tcW w:type="dxa" w:w="6939"/>
            <w:tcBorders>
              <w:top w:val="single" w:color="D8D4C8" w:sz="4"/>
              <w:left w:val="single" w:color="D8D4C8" w:sz="4"/>
              <w:bottom w:val="single" w:color="D8D4C8" w:sz="4"/>
              <w:right w:val="single" w:color="D8D4C8" w:sz="4"/>
            </w:tcBorders>
            <w:tcMar>
              <w:top w:type="dxa" w:w="70"/>
              <w:left w:type="dxa" w:w="90"/>
              <w:bottom w:type="dxa" w:w="70"/>
              <w:right w:type="dxa" w:w="90"/>
            </w:tcMar>
          </w:tcPr>
          <w:p>
            <w:r>
              <w:rPr>
                <w:rFonts w:ascii="Arial" w:cs="Arial" w:eastAsia="Arial" w:hAnsi="Arial"/>
                <w:i/>
                <w:iCs/>
                <w:color w:val="6B6B5F"/>
                <w:sz w:val="20"/>
                <w:szCs w:val="20"/>
              </w:rPr>
              <w:t xml:space="preserve">[Company name]</w:t>
            </w:r>
          </w:p>
        </w:tc>
      </w:tr>
      <w:tr>
        <w:trPr>
          <w:cantSplit/>
        </w:trPr>
        <w:tc>
          <w:tcPr>
            <w:tcW w:type="dxa" w:w="2699"/>
            <w:tcBorders>
              <w:top w:val="single" w:color="D8D4C8" w:sz="4"/>
              <w:left w:val="single" w:color="D8D4C8" w:sz="4"/>
              <w:bottom w:val="single" w:color="D8D4C8" w:sz="4"/>
              <w:right w:val="single" w:color="D8D4C8" w:sz="4"/>
            </w:tcBorders>
            <w:shd w:fill="EEEAE0" w:color="auto" w:val="clear"/>
            <w:tcMar>
              <w:top w:type="dxa" w:w="70"/>
              <w:left w:type="dxa" w:w="90"/>
              <w:bottom w:type="dxa" w:w="70"/>
              <w:right w:type="dxa" w:w="90"/>
            </w:tcMar>
          </w:tcPr>
          <w:p>
            <w:r>
              <w:rPr>
                <w:rFonts w:ascii="Arial" w:cs="Arial" w:eastAsia="Arial" w:hAnsi="Arial"/>
                <w:b/>
                <w:bCs/>
                <w:sz w:val="17"/>
                <w:szCs w:val="17"/>
              </w:rPr>
              <w:t xml:space="preserve">SOP number / version</w:t>
            </w:r>
          </w:p>
        </w:tc>
        <w:tc>
          <w:tcPr>
            <w:tcW w:type="dxa" w:w="6939"/>
            <w:tcBorders>
              <w:top w:val="single" w:color="D8D4C8" w:sz="4"/>
              <w:left w:val="single" w:color="D8D4C8" w:sz="4"/>
              <w:bottom w:val="single" w:color="D8D4C8" w:sz="4"/>
              <w:right w:val="single" w:color="D8D4C8" w:sz="4"/>
            </w:tcBorders>
            <w:tcMar>
              <w:top w:type="dxa" w:w="70"/>
              <w:left w:type="dxa" w:w="90"/>
              <w:bottom w:type="dxa" w:w="70"/>
              <w:right w:type="dxa" w:w="90"/>
            </w:tcMar>
          </w:tcPr>
          <w:p>
            <w:r>
              <w:rPr>
                <w:rFonts w:ascii="Arial" w:cs="Arial" w:eastAsia="Arial" w:hAnsi="Arial"/>
                <w:i/>
                <w:iCs/>
                <w:color w:val="6B6B5F"/>
                <w:sz w:val="20"/>
                <w:szCs w:val="20"/>
              </w:rPr>
              <w:t xml:space="preserve">[SOP-REG-001 / v1.0]</w:t>
            </w:r>
          </w:p>
        </w:tc>
      </w:tr>
      <w:tr>
        <w:trPr>
          <w:cantSplit/>
        </w:trPr>
        <w:tc>
          <w:tcPr>
            <w:tcW w:type="dxa" w:w="2699"/>
            <w:tcBorders>
              <w:top w:val="single" w:color="D8D4C8" w:sz="4"/>
              <w:left w:val="single" w:color="D8D4C8" w:sz="4"/>
              <w:bottom w:val="single" w:color="D8D4C8" w:sz="4"/>
              <w:right w:val="single" w:color="D8D4C8" w:sz="4"/>
            </w:tcBorders>
            <w:shd w:fill="EEEAE0" w:color="auto" w:val="clear"/>
            <w:tcMar>
              <w:top w:type="dxa" w:w="70"/>
              <w:left w:type="dxa" w:w="90"/>
              <w:bottom w:type="dxa" w:w="70"/>
              <w:right w:type="dxa" w:w="90"/>
            </w:tcMar>
          </w:tcPr>
          <w:p>
            <w:r>
              <w:rPr>
                <w:rFonts w:ascii="Arial" w:cs="Arial" w:eastAsia="Arial" w:hAnsi="Arial"/>
                <w:b/>
                <w:bCs/>
                <w:sz w:val="17"/>
                <w:szCs w:val="17"/>
              </w:rPr>
              <w:t xml:space="preserve">Owner</w:t>
            </w:r>
          </w:p>
        </w:tc>
        <w:tc>
          <w:tcPr>
            <w:tcW w:type="dxa" w:w="6939"/>
            <w:tcBorders>
              <w:top w:val="single" w:color="D8D4C8" w:sz="4"/>
              <w:left w:val="single" w:color="D8D4C8" w:sz="4"/>
              <w:bottom w:val="single" w:color="D8D4C8" w:sz="4"/>
              <w:right w:val="single" w:color="D8D4C8" w:sz="4"/>
            </w:tcBorders>
            <w:tcMar>
              <w:top w:type="dxa" w:w="70"/>
              <w:left w:type="dxa" w:w="90"/>
              <w:bottom w:type="dxa" w:w="70"/>
              <w:right w:type="dxa" w:w="90"/>
            </w:tcMar>
          </w:tcPr>
          <w:p>
            <w:r>
              <w:rPr>
                <w:rFonts w:ascii="Arial" w:cs="Arial" w:eastAsia="Arial" w:hAnsi="Arial"/>
                <w:i/>
                <w:iCs/>
                <w:color w:val="6B6B5F"/>
                <w:sz w:val="20"/>
                <w:szCs w:val="20"/>
              </w:rPr>
              <w:t xml:space="preserve">[Regulatory / quality manager]</w:t>
            </w:r>
          </w:p>
        </w:tc>
      </w:tr>
      <w:tr>
        <w:trPr>
          <w:cantSplit/>
        </w:trPr>
        <w:tc>
          <w:tcPr>
            <w:tcW w:type="dxa" w:w="2699"/>
            <w:tcBorders>
              <w:top w:val="single" w:color="D8D4C8" w:sz="4"/>
              <w:left w:val="single" w:color="D8D4C8" w:sz="4"/>
              <w:bottom w:val="single" w:color="D8D4C8" w:sz="4"/>
              <w:right w:val="single" w:color="D8D4C8" w:sz="4"/>
            </w:tcBorders>
            <w:shd w:fill="EEEAE0" w:color="auto" w:val="clear"/>
            <w:tcMar>
              <w:top w:type="dxa" w:w="70"/>
              <w:left w:type="dxa" w:w="90"/>
              <w:bottom w:type="dxa" w:w="70"/>
              <w:right w:type="dxa" w:w="90"/>
            </w:tcMar>
          </w:tcPr>
          <w:p>
            <w:r>
              <w:rPr>
                <w:rFonts w:ascii="Arial" w:cs="Arial" w:eastAsia="Arial" w:hAnsi="Arial"/>
                <w:b/>
                <w:bCs/>
                <w:sz w:val="17"/>
                <w:szCs w:val="17"/>
              </w:rPr>
              <w:t xml:space="preserve">Approved by</w:t>
            </w:r>
          </w:p>
        </w:tc>
        <w:tc>
          <w:tcPr>
            <w:tcW w:type="dxa" w:w="6939"/>
            <w:tcBorders>
              <w:top w:val="single" w:color="D8D4C8" w:sz="4"/>
              <w:left w:val="single" w:color="D8D4C8" w:sz="4"/>
              <w:bottom w:val="single" w:color="D8D4C8" w:sz="4"/>
              <w:right w:val="single" w:color="D8D4C8" w:sz="4"/>
            </w:tcBorders>
            <w:tcMar>
              <w:top w:type="dxa" w:w="70"/>
              <w:left w:type="dxa" w:w="90"/>
              <w:bottom w:type="dxa" w:w="70"/>
              <w:right w:type="dxa" w:w="90"/>
            </w:tcMar>
          </w:tcPr>
          <w:p>
            <w:r>
              <w:rPr>
                <w:rFonts w:ascii="Arial" w:cs="Arial" w:eastAsia="Arial" w:hAnsi="Arial"/>
                <w:i/>
                <w:iCs/>
                <w:color w:val="6B6B5F"/>
                <w:sz w:val="20"/>
                <w:szCs w:val="20"/>
              </w:rPr>
              <w:t xml:space="preserve">[Name, title]</w:t>
            </w:r>
          </w:p>
        </w:tc>
      </w:tr>
      <w:tr>
        <w:trPr>
          <w:cantSplit/>
        </w:trPr>
        <w:tc>
          <w:tcPr>
            <w:tcW w:type="dxa" w:w="2699"/>
            <w:tcBorders>
              <w:top w:val="single" w:color="D8D4C8" w:sz="4"/>
              <w:left w:val="single" w:color="D8D4C8" w:sz="4"/>
              <w:bottom w:val="single" w:color="D8D4C8" w:sz="4"/>
              <w:right w:val="single" w:color="D8D4C8" w:sz="4"/>
            </w:tcBorders>
            <w:shd w:fill="EEEAE0" w:color="auto" w:val="clear"/>
            <w:tcMar>
              <w:top w:type="dxa" w:w="70"/>
              <w:left w:type="dxa" w:w="90"/>
              <w:bottom w:type="dxa" w:w="70"/>
              <w:right w:type="dxa" w:w="90"/>
            </w:tcMar>
          </w:tcPr>
          <w:p>
            <w:r>
              <w:rPr>
                <w:rFonts w:ascii="Arial" w:cs="Arial" w:eastAsia="Arial" w:hAnsi="Arial"/>
                <w:b/>
                <w:bCs/>
                <w:sz w:val="17"/>
                <w:szCs w:val="17"/>
              </w:rPr>
              <w:t xml:space="preserve">Effective date</w:t>
            </w:r>
          </w:p>
        </w:tc>
        <w:tc>
          <w:tcPr>
            <w:tcW w:type="dxa" w:w="6939"/>
            <w:tcBorders>
              <w:top w:val="single" w:color="D8D4C8" w:sz="4"/>
              <w:left w:val="single" w:color="D8D4C8" w:sz="4"/>
              <w:bottom w:val="single" w:color="D8D4C8" w:sz="4"/>
              <w:right w:val="single" w:color="D8D4C8" w:sz="4"/>
            </w:tcBorders>
            <w:tcMar>
              <w:top w:type="dxa" w:w="70"/>
              <w:left w:type="dxa" w:w="90"/>
              <w:bottom w:type="dxa" w:w="70"/>
              <w:right w:type="dxa" w:w="90"/>
            </w:tcMar>
          </w:tcPr>
          <w:p>
            <w:r>
              <w:rPr>
                <w:rFonts w:ascii="Arial" w:cs="Arial" w:eastAsia="Arial" w:hAnsi="Arial"/>
                <w:i/>
                <w:iCs/>
                <w:color w:val="6B6B5F"/>
                <w:sz w:val="20"/>
                <w:szCs w:val="20"/>
              </w:rPr>
              <w:t xml:space="preserve">[DD Month YYYY]</w:t>
            </w:r>
          </w:p>
        </w:tc>
      </w:tr>
      <w:tr>
        <w:trPr>
          <w:cantSplit/>
        </w:trPr>
        <w:tc>
          <w:tcPr>
            <w:tcW w:type="dxa" w:w="2699"/>
            <w:tcBorders>
              <w:top w:val="single" w:color="D8D4C8" w:sz="4"/>
              <w:left w:val="single" w:color="D8D4C8" w:sz="4"/>
              <w:bottom w:val="single" w:color="D8D4C8" w:sz="4"/>
              <w:right w:val="single" w:color="D8D4C8" w:sz="4"/>
            </w:tcBorders>
            <w:shd w:fill="EEEAE0" w:color="auto" w:val="clear"/>
            <w:tcMar>
              <w:top w:type="dxa" w:w="70"/>
              <w:left w:type="dxa" w:w="90"/>
              <w:bottom w:type="dxa" w:w="70"/>
              <w:right w:type="dxa" w:w="90"/>
            </w:tcMar>
          </w:tcPr>
          <w:p>
            <w:r>
              <w:rPr>
                <w:rFonts w:ascii="Arial" w:cs="Arial" w:eastAsia="Arial" w:hAnsi="Arial"/>
                <w:b/>
                <w:bCs/>
                <w:sz w:val="17"/>
                <w:szCs w:val="17"/>
              </w:rPr>
              <w:t xml:space="preserve">Next review</w:t>
            </w:r>
          </w:p>
        </w:tc>
        <w:tc>
          <w:tcPr>
            <w:tcW w:type="dxa" w:w="6939"/>
            <w:tcBorders>
              <w:top w:val="single" w:color="D8D4C8" w:sz="4"/>
              <w:left w:val="single" w:color="D8D4C8" w:sz="4"/>
              <w:bottom w:val="single" w:color="D8D4C8" w:sz="4"/>
              <w:right w:val="single" w:color="D8D4C8" w:sz="4"/>
            </w:tcBorders>
            <w:tcMar>
              <w:top w:type="dxa" w:w="70"/>
              <w:left w:type="dxa" w:w="90"/>
              <w:bottom w:type="dxa" w:w="70"/>
              <w:right w:type="dxa" w:w="90"/>
            </w:tcMar>
          </w:tcPr>
          <w:p>
            <w:r>
              <w:rPr>
                <w:rFonts w:ascii="Arial" w:cs="Arial" w:eastAsia="Arial" w:hAnsi="Arial"/>
                <w:i/>
                <w:iCs/>
                <w:color w:val="6B6B5F"/>
                <w:sz w:val="20"/>
                <w:szCs w:val="20"/>
              </w:rPr>
              <w:t xml:space="preserve">[12 months after effective date, or sooner if a rule changes]</w:t>
            </w:r>
          </w:p>
        </w:tc>
      </w:tr>
    </w:tbl>
    <w:p>
      <w:pPr>
        <w:pStyle w:val="Heading1"/>
        <w:spacing w:after="120" w:before="280"/>
      </w:pPr>
      <w:r>
        <w:rPr>
          <w:rFonts w:ascii="Arial" w:cs="Arial" w:eastAsia="Arial" w:hAnsi="Arial"/>
          <w:b/>
          <w:bCs/>
          <w:color w:val="1A1A18"/>
          <w:sz w:val="28"/>
          <w:szCs w:val="28"/>
        </w:rPr>
        <w:t xml:space="preserve">1. Purpose and scope</w:t>
      </w:r>
    </w:p>
    <w:p>
      <w:pPr>
        <w:spacing w:after="100" w:before="0"/>
      </w:pPr>
      <w:r>
        <w:rPr>
          <w:rFonts w:ascii="Arial" w:cs="Arial" w:eastAsia="Arial" w:hAnsi="Arial"/>
          <w:sz w:val="20"/>
          <w:szCs w:val="20"/>
        </w:rPr>
        <w:t xml:space="preserve">This procedure makes sure every food label we ship to a GCC market has been checked against that market's labelling and import rules, approved where the authority requires it, and kept under change control.</w:t>
      </w:r>
    </w:p>
    <w:p>
      <w:pPr>
        <w:spacing w:after="100" w:before="0"/>
      </w:pPr>
      <w:r>
        <w:rPr>
          <w:rFonts w:ascii="Arial" w:cs="Arial" w:eastAsia="Arial" w:hAnsi="Arial"/>
          <w:b/>
          <w:bCs/>
          <w:sz w:val="20"/>
          <w:szCs w:val="20"/>
        </w:rPr>
        <w:t xml:space="preserve">Applies to: </w:t>
      </w:r>
      <w:r>
        <w:rPr>
          <w:rFonts w:ascii="Arial" w:cs="Arial" w:eastAsia="Arial" w:hAnsi="Arial"/>
          <w:sz w:val="20"/>
          <w:szCs w:val="20"/>
        </w:rPr>
        <w:t xml:space="preserve">all prepackaged food SKUs, every pack size, for each target market. </w:t>
      </w:r>
      <w:r>
        <w:rPr>
          <w:rFonts w:ascii="Arial" w:cs="Arial" w:eastAsia="Arial" w:hAnsi="Arial"/>
          <w:b/>
          <w:bCs/>
          <w:sz w:val="20"/>
          <w:szCs w:val="20"/>
        </w:rPr>
        <w:t xml:space="preserve">Does not cover: </w:t>
      </w:r>
      <w:r>
        <w:rPr>
          <w:rFonts w:ascii="Arial" w:cs="Arial" w:eastAsia="Arial" w:hAnsi="Arial"/>
          <w:sz w:val="20"/>
          <w:szCs w:val="20"/>
        </w:rPr>
        <w:t xml:space="preserve">product formulation, laboratory testing or customs clearance, which have their own procedures.</w:t>
      </w:r>
    </w:p>
    <w:p>
      <w:pPr>
        <w:pStyle w:val="Heading1"/>
        <w:spacing w:after="120" w:before="280"/>
      </w:pPr>
      <w:r>
        <w:rPr>
          <w:rFonts w:ascii="Arial" w:cs="Arial" w:eastAsia="Arial" w:hAnsi="Arial"/>
          <w:b/>
          <w:bCs/>
          <w:color w:val="1A1A18"/>
          <w:sz w:val="28"/>
          <w:szCs w:val="28"/>
        </w:rPr>
        <w:t xml:space="preserve">2. Roles</w:t>
      </w:r>
    </w:p>
    <w:tbl>
      <w:tblPr>
        <w:tblW w:type="dxa" w:w="9638"/>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2410"/>
        <w:gridCol w:w="7228"/>
      </w:tblGrid>
      <w:tr>
        <w:trPr>
          <w:tblHeader/>
        </w:trPr>
        <w:tc>
          <w:tcPr>
            <w:tcW w:type="dxa" w:w="2410"/>
            <w:tcBorders>
              <w:top w:val="single" w:color="D8D4C8" w:sz="4"/>
              <w:left w:val="single" w:color="D8D4C8" w:sz="4"/>
              <w:bottom w:val="single" w:color="D8D4C8" w:sz="4"/>
              <w:right w:val="single" w:color="D8D4C8" w:sz="4"/>
            </w:tcBorders>
            <w:shd w:fill="1A1A18" w:color="auto" w:val="clear"/>
            <w:tcMar>
              <w:top w:type="dxa" w:w="70"/>
              <w:left w:type="dxa" w:w="90"/>
              <w:bottom w:type="dxa" w:w="70"/>
              <w:right w:type="dxa" w:w="90"/>
            </w:tcMar>
          </w:tcPr>
          <w:p>
            <w:r>
              <w:rPr>
                <w:rFonts w:ascii="Arial" w:cs="Arial" w:eastAsia="Arial" w:hAnsi="Arial"/>
                <w:b/>
                <w:bCs/>
                <w:color w:val="FFFFFF"/>
                <w:sz w:val="17"/>
                <w:szCs w:val="17"/>
              </w:rPr>
              <w:t xml:space="preserve">Role</w:t>
            </w:r>
          </w:p>
        </w:tc>
        <w:tc>
          <w:tcPr>
            <w:tcW w:type="dxa" w:w="7228"/>
            <w:tcBorders>
              <w:top w:val="single" w:color="D8D4C8" w:sz="4"/>
              <w:left w:val="single" w:color="D8D4C8" w:sz="4"/>
              <w:bottom w:val="single" w:color="D8D4C8" w:sz="4"/>
              <w:right w:val="single" w:color="D8D4C8" w:sz="4"/>
            </w:tcBorders>
            <w:shd w:fill="1A1A18" w:color="auto" w:val="clear"/>
            <w:tcMar>
              <w:top w:type="dxa" w:w="70"/>
              <w:left w:type="dxa" w:w="90"/>
              <w:bottom w:type="dxa" w:w="70"/>
              <w:right w:type="dxa" w:w="90"/>
            </w:tcMar>
          </w:tcPr>
          <w:p>
            <w:r>
              <w:rPr>
                <w:rFonts w:ascii="Arial" w:cs="Arial" w:eastAsia="Arial" w:hAnsi="Arial"/>
                <w:b/>
                <w:bCs/>
                <w:color w:val="FFFFFF"/>
                <w:sz w:val="17"/>
                <w:szCs w:val="17"/>
              </w:rPr>
              <w:t xml:space="preserve">Responsibility</w:t>
            </w:r>
          </w:p>
        </w:tc>
      </w:tr>
      <w:tr>
        <w:trPr>
          <w:cantSplit/>
        </w:trPr>
        <w:tc>
          <w:tcPr>
            <w:tcW w:type="dxa" w:w="2410"/>
            <w:tcBorders>
              <w:top w:val="single" w:color="D8D4C8" w:sz="4"/>
              <w:left w:val="single" w:color="D8D4C8" w:sz="4"/>
              <w:bottom w:val="single" w:color="D8D4C8" w:sz="4"/>
              <w:right w:val="single" w:color="D8D4C8" w:sz="4"/>
            </w:tcBorders>
            <w:tcMar>
              <w:top w:type="dxa" w:w="70"/>
              <w:left w:type="dxa" w:w="90"/>
              <w:bottom w:type="dxa" w:w="70"/>
              <w:right w:type="dxa" w:w="90"/>
            </w:tcMar>
          </w:tcPr>
          <w:p>
            <w:r>
              <w:rPr>
                <w:rFonts w:ascii="Arial" w:cs="Arial" w:eastAsia="Arial" w:hAnsi="Arial"/>
                <w:b w:val="false"/>
                <w:bCs w:val="false"/>
                <w:sz w:val="17"/>
                <w:szCs w:val="17"/>
              </w:rPr>
              <w:t xml:space="preserve">Regulatory owner</w:t>
            </w:r>
          </w:p>
        </w:tc>
        <w:tc>
          <w:tcPr>
            <w:tcW w:type="dxa" w:w="7228"/>
            <w:tcBorders>
              <w:top w:val="single" w:color="D8D4C8" w:sz="4"/>
              <w:left w:val="single" w:color="D8D4C8" w:sz="4"/>
              <w:bottom w:val="single" w:color="D8D4C8" w:sz="4"/>
              <w:right w:val="single" w:color="D8D4C8" w:sz="4"/>
            </w:tcBorders>
            <w:tcMar>
              <w:top w:type="dxa" w:w="70"/>
              <w:left w:type="dxa" w:w="90"/>
              <w:bottom w:type="dxa" w:w="70"/>
              <w:right w:type="dxa" w:w="90"/>
            </w:tcMar>
          </w:tcPr>
          <w:p>
            <w:r>
              <w:rPr>
                <w:rFonts w:ascii="Arial" w:cs="Arial" w:eastAsia="Arial" w:hAnsi="Arial"/>
                <w:b w:val="false"/>
                <w:bCs w:val="false"/>
                <w:sz w:val="17"/>
                <w:szCs w:val="17"/>
              </w:rPr>
              <w:t xml:space="preserve">Runs this SOP, keeps the checklist and the compliance calendar current, signs the compliance review.</w:t>
            </w:r>
          </w:p>
        </w:tc>
      </w:tr>
      <w:tr>
        <w:trPr>
          <w:cantSplit/>
        </w:trPr>
        <w:tc>
          <w:tcPr>
            <w:tcW w:type="dxa" w:w="2410"/>
            <w:tcBorders>
              <w:top w:val="single" w:color="D8D4C8" w:sz="4"/>
              <w:left w:val="single" w:color="D8D4C8" w:sz="4"/>
              <w:bottom w:val="single" w:color="D8D4C8" w:sz="4"/>
              <w:right w:val="single" w:color="D8D4C8" w:sz="4"/>
            </w:tcBorders>
            <w:tcMar>
              <w:top w:type="dxa" w:w="70"/>
              <w:left w:type="dxa" w:w="90"/>
              <w:bottom w:type="dxa" w:w="70"/>
              <w:right w:type="dxa" w:w="90"/>
            </w:tcMar>
          </w:tcPr>
          <w:p>
            <w:r>
              <w:rPr>
                <w:rFonts w:ascii="Arial" w:cs="Arial" w:eastAsia="Arial" w:hAnsi="Arial"/>
                <w:b w:val="false"/>
                <w:bCs w:val="false"/>
                <w:sz w:val="17"/>
                <w:szCs w:val="17"/>
              </w:rPr>
              <w:t xml:space="preserve">Design / marketing</w:t>
            </w:r>
          </w:p>
        </w:tc>
        <w:tc>
          <w:tcPr>
            <w:tcW w:type="dxa" w:w="7228"/>
            <w:tcBorders>
              <w:top w:val="single" w:color="D8D4C8" w:sz="4"/>
              <w:left w:val="single" w:color="D8D4C8" w:sz="4"/>
              <w:bottom w:val="single" w:color="D8D4C8" w:sz="4"/>
              <w:right w:val="single" w:color="D8D4C8" w:sz="4"/>
            </w:tcBorders>
            <w:tcMar>
              <w:top w:type="dxa" w:w="70"/>
              <w:left w:type="dxa" w:w="90"/>
              <w:bottom w:type="dxa" w:w="70"/>
              <w:right w:type="dxa" w:w="90"/>
            </w:tcMar>
          </w:tcPr>
          <w:p>
            <w:r>
              <w:rPr>
                <w:rFonts w:ascii="Arial" w:cs="Arial" w:eastAsia="Arial" w:hAnsi="Arial"/>
                <w:b w:val="false"/>
                <w:bCs w:val="false"/>
                <w:sz w:val="17"/>
                <w:szCs w:val="17"/>
              </w:rPr>
              <w:t xml:space="preserve">Prepares artwork and the Arabic sticker in Arabic-aware software; makes no claims that the regulatory owner hasn't cleared.</w:t>
            </w:r>
          </w:p>
        </w:tc>
      </w:tr>
      <w:tr>
        <w:trPr>
          <w:cantSplit/>
        </w:trPr>
        <w:tc>
          <w:tcPr>
            <w:tcW w:type="dxa" w:w="2410"/>
            <w:tcBorders>
              <w:top w:val="single" w:color="D8D4C8" w:sz="4"/>
              <w:left w:val="single" w:color="D8D4C8" w:sz="4"/>
              <w:bottom w:val="single" w:color="D8D4C8" w:sz="4"/>
              <w:right w:val="single" w:color="D8D4C8" w:sz="4"/>
            </w:tcBorders>
            <w:tcMar>
              <w:top w:type="dxa" w:w="70"/>
              <w:left w:type="dxa" w:w="90"/>
              <w:bottom w:type="dxa" w:w="70"/>
              <w:right w:type="dxa" w:w="90"/>
            </w:tcMar>
          </w:tcPr>
          <w:p>
            <w:r>
              <w:rPr>
                <w:rFonts w:ascii="Arial" w:cs="Arial" w:eastAsia="Arial" w:hAnsi="Arial"/>
                <w:b w:val="false"/>
                <w:bCs w:val="false"/>
                <w:sz w:val="17"/>
                <w:szCs w:val="17"/>
              </w:rPr>
              <w:t xml:space="preserve">Manufacturer</w:t>
            </w:r>
          </w:p>
        </w:tc>
        <w:tc>
          <w:tcPr>
            <w:tcW w:type="dxa" w:w="7228"/>
            <w:tcBorders>
              <w:top w:val="single" w:color="D8D4C8" w:sz="4"/>
              <w:left w:val="single" w:color="D8D4C8" w:sz="4"/>
              <w:bottom w:val="single" w:color="D8D4C8" w:sz="4"/>
              <w:right w:val="single" w:color="D8D4C8" w:sz="4"/>
            </w:tcBorders>
            <w:tcMar>
              <w:top w:type="dxa" w:w="70"/>
              <w:left w:type="dxa" w:w="90"/>
              <w:bottom w:type="dxa" w:w="70"/>
              <w:right w:type="dxa" w:w="90"/>
            </w:tcMar>
          </w:tcPr>
          <w:p>
            <w:r>
              <w:rPr>
                <w:rFonts w:ascii="Arial" w:cs="Arial" w:eastAsia="Arial" w:hAnsi="Arial"/>
                <w:b w:val="false"/>
                <w:bCs w:val="false"/>
                <w:sz w:val="17"/>
                <w:szCs w:val="17"/>
              </w:rPr>
              <w:t xml:space="preserve">Supplies the documents in the Supplier Document Request Checklist; designs, prints and applies the sticker before export where required.</w:t>
            </w:r>
          </w:p>
        </w:tc>
      </w:tr>
      <w:tr>
        <w:trPr>
          <w:cantSplit/>
        </w:trPr>
        <w:tc>
          <w:tcPr>
            <w:tcW w:type="dxa" w:w="2410"/>
            <w:tcBorders>
              <w:top w:val="single" w:color="D8D4C8" w:sz="4"/>
              <w:left w:val="single" w:color="D8D4C8" w:sz="4"/>
              <w:bottom w:val="single" w:color="D8D4C8" w:sz="4"/>
              <w:right w:val="single" w:color="D8D4C8" w:sz="4"/>
            </w:tcBorders>
            <w:tcMar>
              <w:top w:type="dxa" w:w="70"/>
              <w:left w:type="dxa" w:w="90"/>
              <w:bottom w:type="dxa" w:w="70"/>
              <w:right w:type="dxa" w:w="90"/>
            </w:tcMar>
          </w:tcPr>
          <w:p>
            <w:r>
              <w:rPr>
                <w:rFonts w:ascii="Arial" w:cs="Arial" w:eastAsia="Arial" w:hAnsi="Arial"/>
                <w:b w:val="false"/>
                <w:bCs w:val="false"/>
                <w:sz w:val="17"/>
                <w:szCs w:val="17"/>
              </w:rPr>
              <w:t xml:space="preserve">Importer / distributor</w:t>
            </w:r>
          </w:p>
        </w:tc>
        <w:tc>
          <w:tcPr>
            <w:tcW w:type="dxa" w:w="7228"/>
            <w:tcBorders>
              <w:top w:val="single" w:color="D8D4C8" w:sz="4"/>
              <w:left w:val="single" w:color="D8D4C8" w:sz="4"/>
              <w:bottom w:val="single" w:color="D8D4C8" w:sz="4"/>
              <w:right w:val="single" w:color="D8D4C8" w:sz="4"/>
            </w:tcBorders>
            <w:tcMar>
              <w:top w:type="dxa" w:w="70"/>
              <w:left w:type="dxa" w:w="90"/>
              <w:bottom w:type="dxa" w:w="70"/>
              <w:right w:type="dxa" w:w="90"/>
            </w:tcMar>
          </w:tcPr>
          <w:p>
            <w:r>
              <w:rPr>
                <w:rFonts w:ascii="Arial" w:cs="Arial" w:eastAsia="Arial" w:hAnsi="Arial"/>
                <w:b w:val="false"/>
                <w:bCs w:val="false"/>
                <w:sz w:val="17"/>
                <w:szCs w:val="17"/>
              </w:rPr>
              <w:t xml:space="preserve">Holds the local licence; files registrations, label assessments and approvals with the authority.</w:t>
            </w:r>
          </w:p>
        </w:tc>
      </w:tr>
      <w:tr>
        <w:trPr>
          <w:cantSplit/>
        </w:trPr>
        <w:tc>
          <w:tcPr>
            <w:tcW w:type="dxa" w:w="2410"/>
            <w:tcBorders>
              <w:top w:val="single" w:color="D8D4C8" w:sz="4"/>
              <w:left w:val="single" w:color="D8D4C8" w:sz="4"/>
              <w:bottom w:val="single" w:color="D8D4C8" w:sz="4"/>
              <w:right w:val="single" w:color="D8D4C8" w:sz="4"/>
            </w:tcBorders>
            <w:tcMar>
              <w:top w:type="dxa" w:w="70"/>
              <w:left w:type="dxa" w:w="90"/>
              <w:bottom w:type="dxa" w:w="70"/>
              <w:right w:type="dxa" w:w="90"/>
            </w:tcMar>
          </w:tcPr>
          <w:p>
            <w:r>
              <w:rPr>
                <w:rFonts w:ascii="Arial" w:cs="Arial" w:eastAsia="Arial" w:hAnsi="Arial"/>
                <w:b w:val="false"/>
                <w:bCs w:val="false"/>
                <w:sz w:val="17"/>
                <w:szCs w:val="17"/>
              </w:rPr>
              <w:t xml:space="preserve">Approver</w:t>
            </w:r>
          </w:p>
        </w:tc>
        <w:tc>
          <w:tcPr>
            <w:tcW w:type="dxa" w:w="7228"/>
            <w:tcBorders>
              <w:top w:val="single" w:color="D8D4C8" w:sz="4"/>
              <w:left w:val="single" w:color="D8D4C8" w:sz="4"/>
              <w:bottom w:val="single" w:color="D8D4C8" w:sz="4"/>
              <w:right w:val="single" w:color="D8D4C8" w:sz="4"/>
            </w:tcBorders>
            <w:tcMar>
              <w:top w:type="dxa" w:w="70"/>
              <w:left w:type="dxa" w:w="90"/>
              <w:bottom w:type="dxa" w:w="70"/>
              <w:right w:type="dxa" w:w="90"/>
            </w:tcMar>
          </w:tcPr>
          <w:p>
            <w:r>
              <w:rPr>
                <w:rFonts w:ascii="Arial" w:cs="Arial" w:eastAsia="Arial" w:hAnsi="Arial"/>
                <w:b w:val="false"/>
                <w:bCs w:val="false"/>
                <w:sz w:val="17"/>
                <w:szCs w:val="17"/>
              </w:rPr>
              <w:t xml:space="preserve">Signs off release of the final artwork for printing.</w:t>
            </w:r>
          </w:p>
        </w:tc>
      </w:tr>
    </w:tbl>
    <w:p>
      <w:pPr>
        <w:pStyle w:val="Heading1"/>
        <w:spacing w:after="120" w:before="280"/>
      </w:pPr>
      <w:r>
        <w:rPr>
          <w:rFonts w:ascii="Arial" w:cs="Arial" w:eastAsia="Arial" w:hAnsi="Arial"/>
          <w:b/>
          <w:bCs/>
          <w:color w:val="1A1A18"/>
          <w:sz w:val="28"/>
          <w:szCs w:val="28"/>
        </w:rPr>
        <w:t xml:space="preserve">3. Procedure</w:t>
      </w:r>
    </w:p>
    <w:p>
      <w:pPr>
        <w:pStyle w:val="Heading2"/>
        <w:spacing w:after="80" w:before="200"/>
      </w:pPr>
      <w:r>
        <w:rPr>
          <w:rFonts w:ascii="Arial" w:cs="Arial" w:eastAsia="Arial" w:hAnsi="Arial"/>
          <w:b/>
          <w:bCs/>
          <w:color w:val="1D6E5E"/>
          <w:sz w:val="22"/>
          <w:szCs w:val="22"/>
        </w:rPr>
        <w:t xml:space="preserve">Step 1. Confirm the market route</w:t>
      </w:r>
    </w:p>
    <w:p>
      <w:pPr>
        <w:spacing w:after="100" w:before="0"/>
      </w:pPr>
      <w:r>
        <w:rPr>
          <w:rFonts w:ascii="Arial" w:cs="Arial" w:eastAsia="Arial" w:hAnsi="Arial"/>
          <w:sz w:val="20"/>
          <w:szCs w:val="20"/>
        </w:rPr>
        <w:t xml:space="preserve">Before any artwork work starts, record for each target market whether the product needs registration or label approval, and who the licensed importer is.</w:t>
      </w:r>
    </w:p>
    <w:tbl>
      <w:tblPr>
        <w:tblW w:type="dxa" w:w="9638"/>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1542"/>
        <w:gridCol w:w="4819"/>
        <w:gridCol w:w="3277"/>
      </w:tblGrid>
      <w:tr>
        <w:trPr>
          <w:tblHeader/>
        </w:trPr>
        <w:tc>
          <w:tcPr>
            <w:tcW w:type="dxa" w:w="1542"/>
            <w:tcBorders>
              <w:top w:val="single" w:color="D8D4C8" w:sz="4"/>
              <w:left w:val="single" w:color="D8D4C8" w:sz="4"/>
              <w:bottom w:val="single" w:color="D8D4C8" w:sz="4"/>
              <w:right w:val="single" w:color="D8D4C8" w:sz="4"/>
            </w:tcBorders>
            <w:shd w:fill="1A1A18" w:color="auto" w:val="clear"/>
            <w:tcMar>
              <w:top w:type="dxa" w:w="70"/>
              <w:left w:type="dxa" w:w="90"/>
              <w:bottom w:type="dxa" w:w="70"/>
              <w:right w:type="dxa" w:w="90"/>
            </w:tcMar>
          </w:tcPr>
          <w:p>
            <w:r>
              <w:rPr>
                <w:rFonts w:ascii="Arial" w:cs="Arial" w:eastAsia="Arial" w:hAnsi="Arial"/>
                <w:b/>
                <w:bCs/>
                <w:color w:val="FFFFFF"/>
                <w:sz w:val="17"/>
                <w:szCs w:val="17"/>
              </w:rPr>
              <w:t xml:space="preserve">Market</w:t>
            </w:r>
          </w:p>
        </w:tc>
        <w:tc>
          <w:tcPr>
            <w:tcW w:type="dxa" w:w="4819"/>
            <w:tcBorders>
              <w:top w:val="single" w:color="D8D4C8" w:sz="4"/>
              <w:left w:val="single" w:color="D8D4C8" w:sz="4"/>
              <w:bottom w:val="single" w:color="D8D4C8" w:sz="4"/>
              <w:right w:val="single" w:color="D8D4C8" w:sz="4"/>
            </w:tcBorders>
            <w:shd w:fill="1A1A18" w:color="auto" w:val="clear"/>
            <w:tcMar>
              <w:top w:type="dxa" w:w="70"/>
              <w:left w:type="dxa" w:w="90"/>
              <w:bottom w:type="dxa" w:w="70"/>
              <w:right w:type="dxa" w:w="90"/>
            </w:tcMar>
          </w:tcPr>
          <w:p>
            <w:r>
              <w:rPr>
                <w:rFonts w:ascii="Arial" w:cs="Arial" w:eastAsia="Arial" w:hAnsi="Arial"/>
                <w:b/>
                <w:bCs/>
                <w:color w:val="FFFFFF"/>
                <w:sz w:val="17"/>
                <w:szCs w:val="17"/>
              </w:rPr>
              <w:t xml:space="preserve">What is required before import</w:t>
            </w:r>
          </w:p>
        </w:tc>
        <w:tc>
          <w:tcPr>
            <w:tcW w:type="dxa" w:w="3277"/>
            <w:tcBorders>
              <w:top w:val="single" w:color="D8D4C8" w:sz="4"/>
              <w:left w:val="single" w:color="D8D4C8" w:sz="4"/>
              <w:bottom w:val="single" w:color="D8D4C8" w:sz="4"/>
              <w:right w:val="single" w:color="D8D4C8" w:sz="4"/>
            </w:tcBorders>
            <w:shd w:fill="1A1A18" w:color="auto" w:val="clear"/>
            <w:tcMar>
              <w:top w:type="dxa" w:w="70"/>
              <w:left w:type="dxa" w:w="90"/>
              <w:bottom w:type="dxa" w:w="70"/>
              <w:right w:type="dxa" w:w="90"/>
            </w:tcMar>
          </w:tcPr>
          <w:p>
            <w:r>
              <w:rPr>
                <w:rFonts w:ascii="Arial" w:cs="Arial" w:eastAsia="Arial" w:hAnsi="Arial"/>
                <w:b/>
                <w:bCs/>
                <w:color w:val="FFFFFF"/>
                <w:sz w:val="17"/>
                <w:szCs w:val="17"/>
              </w:rPr>
              <w:t xml:space="preserve">Source</w:t>
            </w:r>
          </w:p>
        </w:tc>
      </w:tr>
      <w:tr>
        <w:trPr>
          <w:cantSplit/>
        </w:trPr>
        <w:tc>
          <w:tcPr>
            <w:tcW w:type="dxa" w:w="1542"/>
            <w:tcBorders>
              <w:top w:val="single" w:color="D8D4C8" w:sz="4"/>
              <w:left w:val="single" w:color="D8D4C8" w:sz="4"/>
              <w:bottom w:val="single" w:color="D8D4C8" w:sz="4"/>
              <w:right w:val="single" w:color="D8D4C8" w:sz="4"/>
            </w:tcBorders>
            <w:tcMar>
              <w:top w:type="dxa" w:w="70"/>
              <w:left w:type="dxa" w:w="90"/>
              <w:bottom w:type="dxa" w:w="70"/>
              <w:right w:type="dxa" w:w="90"/>
            </w:tcMar>
          </w:tcPr>
          <w:p>
            <w:r>
              <w:rPr>
                <w:rFonts w:ascii="Arial" w:cs="Arial" w:eastAsia="Arial" w:hAnsi="Arial"/>
                <w:b w:val="false"/>
                <w:bCs w:val="false"/>
                <w:sz w:val="17"/>
                <w:szCs w:val="17"/>
              </w:rPr>
              <w:t xml:space="preserve">Kuwait</w:t>
            </w:r>
          </w:p>
        </w:tc>
        <w:tc>
          <w:tcPr>
            <w:tcW w:type="dxa" w:w="4819"/>
            <w:tcBorders>
              <w:top w:val="single" w:color="D8D4C8" w:sz="4"/>
              <w:left w:val="single" w:color="D8D4C8" w:sz="4"/>
              <w:bottom w:val="single" w:color="D8D4C8" w:sz="4"/>
              <w:right w:val="single" w:color="D8D4C8" w:sz="4"/>
            </w:tcBorders>
            <w:tcMar>
              <w:top w:type="dxa" w:w="70"/>
              <w:left w:type="dxa" w:w="90"/>
              <w:bottom w:type="dxa" w:w="70"/>
              <w:right w:type="dxa" w:w="90"/>
            </w:tcMar>
          </w:tcPr>
          <w:p>
            <w:r>
              <w:rPr>
                <w:rFonts w:ascii="Arial" w:cs="Arial" w:eastAsia="Arial" w:hAnsi="Arial"/>
                <w:b w:val="false"/>
                <w:bCs w:val="false"/>
                <w:sz w:val="17"/>
                <w:szCs w:val="17"/>
              </w:rPr>
              <w:t xml:space="preserve">Prior approval from PAFN. Label data applied by the manufacturer abroad before the goods enter the country.</w:t>
            </w:r>
          </w:p>
        </w:tc>
        <w:tc>
          <w:tcPr>
            <w:tcW w:type="dxa" w:w="3277"/>
            <w:tcBorders>
              <w:top w:val="single" w:color="D8D4C8" w:sz="4"/>
              <w:left w:val="single" w:color="D8D4C8" w:sz="4"/>
              <w:bottom w:val="single" w:color="D8D4C8" w:sz="4"/>
              <w:right w:val="single" w:color="D8D4C8" w:sz="4"/>
            </w:tcBorders>
            <w:tcMar>
              <w:top w:type="dxa" w:w="70"/>
              <w:left w:type="dxa" w:w="90"/>
              <w:bottom w:type="dxa" w:w="70"/>
              <w:right w:type="dxa" w:w="90"/>
            </w:tcMar>
          </w:tcPr>
          <w:p>
            <w:r>
              <w:rPr>
                <w:rFonts w:ascii="Arial" w:cs="Arial" w:eastAsia="Arial" w:hAnsi="Arial"/>
                <w:b w:val="false"/>
                <w:bCs w:val="false"/>
                <w:sz w:val="17"/>
                <w:szCs w:val="17"/>
              </w:rPr>
              <w:t xml:space="preserve">MR 6/2023 Arts 7, 12 [Official text]</w:t>
            </w:r>
          </w:p>
        </w:tc>
      </w:tr>
      <w:tr>
        <w:trPr>
          <w:cantSplit/>
        </w:trPr>
        <w:tc>
          <w:tcPr>
            <w:tcW w:type="dxa" w:w="1542"/>
            <w:tcBorders>
              <w:top w:val="single" w:color="D8D4C8" w:sz="4"/>
              <w:left w:val="single" w:color="D8D4C8" w:sz="4"/>
              <w:bottom w:val="single" w:color="D8D4C8" w:sz="4"/>
              <w:right w:val="single" w:color="D8D4C8" w:sz="4"/>
            </w:tcBorders>
            <w:tcMar>
              <w:top w:type="dxa" w:w="70"/>
              <w:left w:type="dxa" w:w="90"/>
              <w:bottom w:type="dxa" w:w="70"/>
              <w:right w:type="dxa" w:w="90"/>
            </w:tcMar>
          </w:tcPr>
          <w:p>
            <w:r>
              <w:rPr>
                <w:rFonts w:ascii="Arial" w:cs="Arial" w:eastAsia="Arial" w:hAnsi="Arial"/>
                <w:b w:val="false"/>
                <w:bCs w:val="false"/>
                <w:sz w:val="17"/>
                <w:szCs w:val="17"/>
              </w:rPr>
              <w:t xml:space="preserve">Bahrain</w:t>
            </w:r>
          </w:p>
        </w:tc>
        <w:tc>
          <w:tcPr>
            <w:tcW w:type="dxa" w:w="4819"/>
            <w:tcBorders>
              <w:top w:val="single" w:color="D8D4C8" w:sz="4"/>
              <w:left w:val="single" w:color="D8D4C8" w:sz="4"/>
              <w:bottom w:val="single" w:color="D8D4C8" w:sz="4"/>
              <w:right w:val="single" w:color="D8D4C8" w:sz="4"/>
            </w:tcBorders>
            <w:tcMar>
              <w:top w:type="dxa" w:w="70"/>
              <w:left w:type="dxa" w:w="90"/>
              <w:bottom w:type="dxa" w:w="70"/>
              <w:right w:type="dxa" w:w="90"/>
            </w:tcMar>
          </w:tcPr>
          <w:p>
            <w:r>
              <w:rPr>
                <w:rFonts w:ascii="Arial" w:cs="Arial" w:eastAsia="Arial" w:hAnsi="Arial"/>
                <w:b w:val="false"/>
                <w:bCs w:val="false"/>
                <w:sz w:val="17"/>
                <w:szCs w:val="17"/>
              </w:rPr>
              <w:t xml:space="preserve">No prior product registration for regular foods (special foods such as baby food and energy drinks must be registered). Importer needs a commercial registration and a certificate to practise under health surveillance.</w:t>
            </w:r>
          </w:p>
        </w:tc>
        <w:tc>
          <w:tcPr>
            <w:tcW w:type="dxa" w:w="3277"/>
            <w:tcBorders>
              <w:top w:val="single" w:color="D8D4C8" w:sz="4"/>
              <w:left w:val="single" w:color="D8D4C8" w:sz="4"/>
              <w:bottom w:val="single" w:color="D8D4C8" w:sz="4"/>
              <w:right w:val="single" w:color="D8D4C8" w:sz="4"/>
            </w:tcBorders>
            <w:tcMar>
              <w:top w:type="dxa" w:w="70"/>
              <w:left w:type="dxa" w:w="90"/>
              <w:bottom w:type="dxa" w:w="70"/>
              <w:right w:type="dxa" w:w="90"/>
            </w:tcMar>
          </w:tcPr>
          <w:p>
            <w:r>
              <w:rPr>
                <w:rFonts w:ascii="Arial" w:cs="Arial" w:eastAsia="Arial" w:hAnsi="Arial"/>
                <w:b w:val="false"/>
                <w:bCs w:val="false"/>
                <w:sz w:val="17"/>
                <w:szCs w:val="17"/>
              </w:rPr>
              <w:t xml:space="preserve">MOH Food Importers Guide [Official text]</w:t>
            </w:r>
          </w:p>
        </w:tc>
      </w:tr>
      <w:tr>
        <w:trPr>
          <w:cantSplit/>
        </w:trPr>
        <w:tc>
          <w:tcPr>
            <w:tcW w:type="dxa" w:w="1542"/>
            <w:tcBorders>
              <w:top w:val="single" w:color="D8D4C8" w:sz="4"/>
              <w:left w:val="single" w:color="D8D4C8" w:sz="4"/>
              <w:bottom w:val="single" w:color="D8D4C8" w:sz="4"/>
              <w:right w:val="single" w:color="D8D4C8" w:sz="4"/>
            </w:tcBorders>
            <w:tcMar>
              <w:top w:type="dxa" w:w="70"/>
              <w:left w:type="dxa" w:w="90"/>
              <w:bottom w:type="dxa" w:w="70"/>
              <w:right w:type="dxa" w:w="90"/>
            </w:tcMar>
          </w:tcPr>
          <w:p>
            <w:r>
              <w:rPr>
                <w:rFonts w:ascii="Arial" w:cs="Arial" w:eastAsia="Arial" w:hAnsi="Arial"/>
                <w:b w:val="false"/>
                <w:bCs w:val="false"/>
                <w:sz w:val="17"/>
                <w:szCs w:val="17"/>
              </w:rPr>
              <w:t xml:space="preserve">Oman</w:t>
            </w:r>
          </w:p>
        </w:tc>
        <w:tc>
          <w:tcPr>
            <w:tcW w:type="dxa" w:w="4819"/>
            <w:tcBorders>
              <w:top w:val="single" w:color="D8D4C8" w:sz="4"/>
              <w:left w:val="single" w:color="D8D4C8" w:sz="4"/>
              <w:bottom w:val="single" w:color="D8D4C8" w:sz="4"/>
              <w:right w:val="single" w:color="D8D4C8" w:sz="4"/>
            </w:tcBorders>
            <w:tcMar>
              <w:top w:type="dxa" w:w="70"/>
              <w:left w:type="dxa" w:w="90"/>
              <w:bottom w:type="dxa" w:w="70"/>
              <w:right w:type="dxa" w:w="90"/>
            </w:tcMar>
          </w:tcPr>
          <w:p>
            <w:r>
              <w:rPr>
                <w:rFonts w:ascii="Arial" w:cs="Arial" w:eastAsia="Arial" w:hAnsi="Arial"/>
                <w:b w:val="false"/>
                <w:bCs w:val="false"/>
                <w:sz w:val="17"/>
                <w:szCs w:val="17"/>
              </w:rPr>
              <w:t xml:space="preserve">Registration of every imported food with the Food Safety and Quality Center, and approval of the label. Any advertising, including online, needs prior approval (valid 30 days).</w:t>
            </w:r>
          </w:p>
        </w:tc>
        <w:tc>
          <w:tcPr>
            <w:tcW w:type="dxa" w:w="3277"/>
            <w:tcBorders>
              <w:top w:val="single" w:color="D8D4C8" w:sz="4"/>
              <w:left w:val="single" w:color="D8D4C8" w:sz="4"/>
              <w:bottom w:val="single" w:color="D8D4C8" w:sz="4"/>
              <w:right w:val="single" w:color="D8D4C8" w:sz="4"/>
            </w:tcBorders>
            <w:tcMar>
              <w:top w:type="dxa" w:w="70"/>
              <w:left w:type="dxa" w:w="90"/>
              <w:bottom w:type="dxa" w:w="70"/>
              <w:right w:type="dxa" w:w="90"/>
            </w:tcMar>
          </w:tcPr>
          <w:p>
            <w:r>
              <w:rPr>
                <w:rFonts w:ascii="Arial" w:cs="Arial" w:eastAsia="Arial" w:hAnsi="Arial"/>
                <w:b w:val="false"/>
                <w:bCs w:val="false"/>
                <w:sz w:val="17"/>
                <w:szCs w:val="17"/>
              </w:rPr>
              <w:t xml:space="preserve">MD 69/2024 Arts 2, 8, 10–12 [Official text]</w:t>
            </w:r>
          </w:p>
        </w:tc>
      </w:tr>
      <w:tr>
        <w:trPr>
          <w:cantSplit/>
        </w:trPr>
        <w:tc>
          <w:tcPr>
            <w:tcW w:type="dxa" w:w="1542"/>
            <w:tcBorders>
              <w:top w:val="single" w:color="D8D4C8" w:sz="4"/>
              <w:left w:val="single" w:color="D8D4C8" w:sz="4"/>
              <w:bottom w:val="single" w:color="D8D4C8" w:sz="4"/>
              <w:right w:val="single" w:color="D8D4C8" w:sz="4"/>
            </w:tcBorders>
            <w:tcMar>
              <w:top w:type="dxa" w:w="70"/>
              <w:left w:type="dxa" w:w="90"/>
              <w:bottom w:type="dxa" w:w="70"/>
              <w:right w:type="dxa" w:w="90"/>
            </w:tcMar>
          </w:tcPr>
          <w:p>
            <w:r>
              <w:rPr>
                <w:rFonts w:ascii="Arial" w:cs="Arial" w:eastAsia="Arial" w:hAnsi="Arial"/>
                <w:b w:val="false"/>
                <w:bCs w:val="false"/>
                <w:sz w:val="17"/>
                <w:szCs w:val="17"/>
              </w:rPr>
              <w:t xml:space="preserve">UAE</w:t>
            </w:r>
          </w:p>
        </w:tc>
        <w:tc>
          <w:tcPr>
            <w:tcW w:type="dxa" w:w="4819"/>
            <w:tcBorders>
              <w:top w:val="single" w:color="D8D4C8" w:sz="4"/>
              <w:left w:val="single" w:color="D8D4C8" w:sz="4"/>
              <w:bottom w:val="single" w:color="D8D4C8" w:sz="4"/>
              <w:right w:val="single" w:color="D8D4C8" w:sz="4"/>
            </w:tcBorders>
            <w:tcMar>
              <w:top w:type="dxa" w:w="70"/>
              <w:left w:type="dxa" w:w="90"/>
              <w:bottom w:type="dxa" w:w="70"/>
              <w:right w:type="dxa" w:w="90"/>
            </w:tcMar>
          </w:tcPr>
          <w:p>
            <w:r>
              <w:rPr>
                <w:rFonts w:ascii="Arial" w:cs="Arial" w:eastAsia="Arial" w:hAnsi="Arial"/>
                <w:b w:val="false"/>
                <w:bCs w:val="false"/>
                <w:sz w:val="17"/>
                <w:szCs w:val="17"/>
              </w:rPr>
              <w:t xml:space="preserve">Product registration (ZAD) and label assessment before import (ZAD, FIRS/ZADI in Dubai, or the municipality). Each pack size registered separately.</w:t>
            </w:r>
          </w:p>
        </w:tc>
        <w:tc>
          <w:tcPr>
            <w:tcW w:type="dxa" w:w="3277"/>
            <w:tcBorders>
              <w:top w:val="single" w:color="D8D4C8" w:sz="4"/>
              <w:left w:val="single" w:color="D8D4C8" w:sz="4"/>
              <w:bottom w:val="single" w:color="D8D4C8" w:sz="4"/>
              <w:right w:val="single" w:color="D8D4C8" w:sz="4"/>
            </w:tcBorders>
            <w:tcMar>
              <w:top w:type="dxa" w:w="70"/>
              <w:left w:type="dxa" w:w="90"/>
              <w:bottom w:type="dxa" w:w="70"/>
              <w:right w:type="dxa" w:w="90"/>
            </w:tcMar>
          </w:tcPr>
          <w:p>
            <w:r>
              <w:rPr>
                <w:rFonts w:ascii="Arial" w:cs="Arial" w:eastAsia="Arial" w:hAnsi="Arial"/>
                <w:b w:val="false"/>
                <w:bCs w:val="false"/>
                <w:sz w:val="17"/>
                <w:szCs w:val="17"/>
              </w:rPr>
              <w:t xml:space="preserve">USDA FAS UAE 2025 [Official summary]</w:t>
            </w:r>
          </w:p>
        </w:tc>
      </w:tr>
    </w:tbl>
    <w:p>
      <w:pPr>
        <w:spacing w:after="120" w:before="0"/>
      </w:pPr>
      <w:r>
        <w:rPr>
          <w:rFonts w:ascii="Arial" w:cs="Arial" w:eastAsia="Arial" w:hAnsi="Arial"/>
          <w:i/>
          <w:iCs/>
          <w:color w:val="6B6B5F"/>
          <w:sz w:val="17"/>
          <w:szCs w:val="17"/>
        </w:rPr>
        <w:t xml:space="preserve">Sales channel matters: personal-use import routes are for individuals, not for a business selling direct to consumers. Confirm D2C routes with your importer or customs broker [Verify].</w:t>
      </w:r>
    </w:p>
    <w:p>
      <w:pPr>
        <w:pStyle w:val="Heading2"/>
        <w:spacing w:after="80" w:before="200"/>
      </w:pPr>
      <w:r>
        <w:rPr>
          <w:rFonts w:ascii="Arial" w:cs="Arial" w:eastAsia="Arial" w:hAnsi="Arial"/>
          <w:b/>
          <w:bCs/>
          <w:color w:val="1D6E5E"/>
          <w:sz w:val="22"/>
          <w:szCs w:val="22"/>
        </w:rPr>
        <w:t xml:space="preserve">Step 2. Collect supplier documents</w:t>
      </w:r>
    </w:p>
    <w:p>
      <w:pPr>
        <w:spacing w:after="100" w:before="0"/>
      </w:pPr>
      <w:r>
        <w:rPr>
          <w:rFonts w:ascii="Arial" w:cs="Arial" w:eastAsia="Arial" w:hAnsi="Arial"/>
          <w:sz w:val="20"/>
          <w:szCs w:val="20"/>
        </w:rPr>
        <w:t xml:space="preserve">Send the manufacturer the Supplier Document Request Checklist. Do not start the compliance review until the artwork (all sides, with dimensions), the final ingredient list and the nutrition table have arrived.</w:t>
      </w:r>
    </w:p>
    <w:p>
      <w:pPr>
        <w:pStyle w:val="Heading2"/>
        <w:spacing w:after="80" w:before="200"/>
      </w:pPr>
      <w:r>
        <w:rPr>
          <w:rFonts w:ascii="Arial" w:cs="Arial" w:eastAsia="Arial" w:hAnsi="Arial"/>
          <w:b/>
          <w:bCs/>
          <w:color w:val="1D6E5E"/>
          <w:sz w:val="22"/>
          <w:szCs w:val="22"/>
        </w:rPr>
        <w:t xml:space="preserve">Step 3. Prepare the Arabic text</w:t>
      </w:r>
    </w:p>
    <w:p>
      <w:pPr>
        <w:pStyle w:val="ListParagraph"/>
        <w:numPr>
          <w:ilvl w:val="0"/>
          <w:numId w:val="2"/>
        </w:numPr>
        <w:spacing w:after="50"/>
      </w:pPr>
      <w:r>
        <w:rPr>
          <w:rFonts w:ascii="Arial" w:cs="Arial" w:eastAsia="Arial" w:hAnsi="Arial"/>
          <w:sz w:val="20"/>
          <w:szCs w:val="20"/>
        </w:rPr>
        <w:t xml:space="preserve">The Arabic must say the same as the other language, item for item. Arabic is the reference language.</w:t>
      </w:r>
    </w:p>
    <w:p>
      <w:pPr>
        <w:pStyle w:val="ListParagraph"/>
        <w:numPr>
          <w:ilvl w:val="0"/>
          <w:numId w:val="2"/>
        </w:numPr>
        <w:spacing w:after="50"/>
      </w:pPr>
      <w:r>
        <w:rPr>
          <w:rFonts w:ascii="Arial" w:cs="Arial" w:eastAsia="Arial" w:hAnsi="Arial"/>
          <w:sz w:val="20"/>
          <w:szCs w:val="20"/>
        </w:rPr>
        <w:t xml:space="preserve">Use the regulatory terms, not literal translations (e.g. trans fat = الدهون المتحولة, not دهون غير مشبعة, which Bahrain MOH flags as incorrect).</w:t>
      </w:r>
    </w:p>
    <w:p>
      <w:pPr>
        <w:pStyle w:val="ListParagraph"/>
        <w:numPr>
          <w:ilvl w:val="0"/>
          <w:numId w:val="2"/>
        </w:numPr>
        <w:spacing w:after="50"/>
      </w:pPr>
      <w:r>
        <w:rPr>
          <w:rFonts w:ascii="Arial" w:cs="Arial" w:eastAsia="Arial" w:hAnsi="Arial"/>
          <w:sz w:val="20"/>
          <w:szCs w:val="20"/>
        </w:rPr>
        <w:t xml:space="preserve">Declare the source of gelatin, lecithins and mono- and di-glycerides (Bahrain, UAE; Oman requires the origin of animal fats).</w:t>
      </w:r>
    </w:p>
    <w:p>
      <w:pPr>
        <w:pStyle w:val="Heading2"/>
        <w:spacing w:after="80" w:before="200"/>
      </w:pPr>
      <w:r>
        <w:rPr>
          <w:rFonts w:ascii="Arial" w:cs="Arial" w:eastAsia="Arial" w:hAnsi="Arial"/>
          <w:b/>
          <w:bCs/>
          <w:color w:val="1D6E5E"/>
          <w:sz w:val="22"/>
          <w:szCs w:val="22"/>
        </w:rPr>
        <w:t xml:space="preserve">Step 4. Design the sticker and pack</w:t>
      </w:r>
    </w:p>
    <w:p>
      <w:pPr>
        <w:pStyle w:val="ListParagraph"/>
        <w:numPr>
          <w:ilvl w:val="0"/>
          <w:numId w:val="2"/>
        </w:numPr>
        <w:spacing w:after="50"/>
      </w:pPr>
      <w:r>
        <w:rPr>
          <w:rFonts w:ascii="Arial" w:cs="Arial" w:eastAsia="Arial" w:hAnsi="Arial"/>
          <w:sz w:val="20"/>
          <w:szCs w:val="20"/>
        </w:rPr>
        <w:t xml:space="preserve">One single sticker carrying all Arabic mandatory information, designed and printed by the manufacturer (GSO 9 clause 7.2.2.1 [Official summary]).</w:t>
      </w:r>
    </w:p>
    <w:p>
      <w:pPr>
        <w:pStyle w:val="ListParagraph"/>
        <w:numPr>
          <w:ilvl w:val="0"/>
          <w:numId w:val="2"/>
        </w:numPr>
        <w:spacing w:after="50"/>
      </w:pPr>
      <w:r>
        <w:rPr>
          <w:rFonts w:ascii="Arial" w:cs="Arial" w:eastAsia="Arial" w:hAnsi="Arial"/>
          <w:sz w:val="20"/>
          <w:szCs w:val="20"/>
        </w:rPr>
        <w:t xml:space="preserve">The sticker must not cover or contradict anything on the original pack (Kuwait inspection list; Bahrain MOH) and must be hard to remove.</w:t>
      </w:r>
    </w:p>
    <w:p>
      <w:pPr>
        <w:pStyle w:val="ListParagraph"/>
        <w:numPr>
          <w:ilvl w:val="0"/>
          <w:numId w:val="2"/>
        </w:numPr>
        <w:spacing w:after="50"/>
      </w:pPr>
      <w:r>
        <w:rPr>
          <w:rFonts w:ascii="Arial" w:cs="Arial" w:eastAsia="Arial" w:hAnsi="Arial"/>
          <w:sz w:val="20"/>
          <w:szCs w:val="20"/>
        </w:rPr>
        <w:t xml:space="preserve">Production and expiry dates are printed or stamped on the pack itself, never on the sticker; only one of each.</w:t>
      </w:r>
    </w:p>
    <w:p>
      <w:pPr>
        <w:pStyle w:val="ListParagraph"/>
        <w:numPr>
          <w:ilvl w:val="0"/>
          <w:numId w:val="2"/>
        </w:numPr>
        <w:spacing w:after="50"/>
      </w:pPr>
      <w:r>
        <w:rPr>
          <w:rFonts w:ascii="Arial" w:cs="Arial" w:eastAsia="Arial" w:hAnsi="Arial"/>
          <w:sz w:val="20"/>
          <w:szCs w:val="20"/>
        </w:rPr>
        <w:t xml:space="preserve">UAE: the sticker must be approved in the label assessment and applied before export, not on arrival [Official summary].</w:t>
      </w:r>
    </w:p>
    <w:p>
      <w:pPr>
        <w:pStyle w:val="ListParagraph"/>
        <w:numPr>
          <w:ilvl w:val="0"/>
          <w:numId w:val="2"/>
        </w:numPr>
        <w:spacing w:after="50"/>
      </w:pPr>
      <w:r>
        <w:rPr>
          <w:rFonts w:ascii="Arial" w:cs="Arial" w:eastAsia="Arial" w:hAnsi="Arial"/>
          <w:sz w:val="20"/>
          <w:szCs w:val="20"/>
        </w:rPr>
        <w:t xml:space="preserve">Oman: no logos of quality-management certificates (e.g. ISO marks) on the label (MD 69/2024 Art. 8).</w:t>
      </w:r>
    </w:p>
    <w:p>
      <w:pPr>
        <w:pStyle w:val="Heading2"/>
        <w:spacing w:after="80" w:before="200"/>
      </w:pPr>
      <w:r>
        <w:rPr>
          <w:rFonts w:ascii="Arial" w:cs="Arial" w:eastAsia="Arial" w:hAnsi="Arial"/>
          <w:b/>
          <w:bCs/>
          <w:color w:val="1D6E5E"/>
          <w:sz w:val="22"/>
          <w:szCs w:val="22"/>
        </w:rPr>
        <w:t xml:space="preserve">Step 5. Compliance review</w:t>
      </w:r>
    </w:p>
    <w:p>
      <w:pPr>
        <w:spacing w:after="100" w:before="0"/>
      </w:pPr>
      <w:r>
        <w:rPr>
          <w:rFonts w:ascii="Arial" w:cs="Arial" w:eastAsia="Arial" w:hAnsi="Arial"/>
          <w:sz w:val="20"/>
          <w:szCs w:val="20"/>
        </w:rPr>
        <w:t xml:space="preserve">The regulatory owner checks the artwork against the label checklist for each market (mandatory particulars, allergens, nutrition facts, dates, claims, Arabic typography) and records each finding with its source.</w:t>
      </w:r>
    </w:p>
    <w:tbl>
      <w:tblPr>
        <w:tblW w:type="dxa" w:w="9638"/>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2891"/>
        <w:gridCol w:w="6747"/>
      </w:tblGrid>
      <w:tr>
        <w:trPr>
          <w:cantSplit/>
        </w:trPr>
        <w:tc>
          <w:tcPr>
            <w:tcW w:type="dxa" w:w="2891"/>
            <w:tcBorders>
              <w:top w:val="single" w:color="D8D4C8" w:sz="4"/>
              <w:left w:val="single" w:color="D8D4C8" w:sz="4"/>
              <w:bottom w:val="single" w:color="D8D4C8" w:sz="4"/>
              <w:right w:val="single" w:color="D8D4C8" w:sz="4"/>
            </w:tcBorders>
            <w:shd w:fill="EEEAE0" w:color="auto" w:val="clear"/>
            <w:tcMar>
              <w:top w:type="dxa" w:w="70"/>
              <w:left w:type="dxa" w:w="90"/>
              <w:bottom w:type="dxa" w:w="70"/>
              <w:right w:type="dxa" w:w="90"/>
            </w:tcMar>
          </w:tcPr>
          <w:p>
            <w:r>
              <w:rPr>
                <w:rFonts w:ascii="Arial" w:cs="Arial" w:eastAsia="Arial" w:hAnsi="Arial"/>
                <w:b/>
                <w:bCs/>
                <w:sz w:val="17"/>
                <w:szCs w:val="17"/>
              </w:rPr>
              <w:t xml:space="preserve">Review reference</w:t>
            </w:r>
          </w:p>
        </w:tc>
        <w:tc>
          <w:tcPr>
            <w:tcW w:type="dxa" w:w="6747"/>
            <w:tcBorders>
              <w:top w:val="single" w:color="D8D4C8" w:sz="4"/>
              <w:left w:val="single" w:color="D8D4C8" w:sz="4"/>
              <w:bottom w:val="single" w:color="D8D4C8" w:sz="4"/>
              <w:right w:val="single" w:color="D8D4C8" w:sz="4"/>
            </w:tcBorders>
            <w:shd w:fill="FFF8E1" w:color="auto" w:val="clear"/>
            <w:tcMar>
              <w:top w:type="dxa" w:w="70"/>
              <w:left w:type="dxa" w:w="90"/>
              <w:bottom w:type="dxa" w:w="70"/>
              <w:right w:type="dxa" w:w="90"/>
            </w:tcMar>
          </w:tcPr>
          <w:p>
            <w:r>
              <w:rPr>
                <w:rFonts w:ascii="Arial" w:cs="Arial" w:eastAsia="Arial" w:hAnsi="Arial"/>
                <w:i/>
                <w:iCs/>
                <w:color w:val="6B6B5F"/>
                <w:sz w:val="20"/>
                <w:szCs w:val="20"/>
              </w:rPr>
              <w:t xml:space="preserve">[LR-YYYY-###]</w:t>
            </w:r>
          </w:p>
        </w:tc>
      </w:tr>
      <w:tr>
        <w:trPr>
          <w:cantSplit/>
        </w:trPr>
        <w:tc>
          <w:tcPr>
            <w:tcW w:type="dxa" w:w="2891"/>
            <w:tcBorders>
              <w:top w:val="single" w:color="D8D4C8" w:sz="4"/>
              <w:left w:val="single" w:color="D8D4C8" w:sz="4"/>
              <w:bottom w:val="single" w:color="D8D4C8" w:sz="4"/>
              <w:right w:val="single" w:color="D8D4C8" w:sz="4"/>
            </w:tcBorders>
            <w:shd w:fill="EEEAE0" w:color="auto" w:val="clear"/>
            <w:tcMar>
              <w:top w:type="dxa" w:w="70"/>
              <w:left w:type="dxa" w:w="90"/>
              <w:bottom w:type="dxa" w:w="70"/>
              <w:right w:type="dxa" w:w="90"/>
            </w:tcMar>
          </w:tcPr>
          <w:p>
            <w:r>
              <w:rPr>
                <w:rFonts w:ascii="Arial" w:cs="Arial" w:eastAsia="Arial" w:hAnsi="Arial"/>
                <w:b/>
                <w:bCs/>
                <w:sz w:val="17"/>
                <w:szCs w:val="17"/>
              </w:rPr>
              <w:t xml:space="preserve">Result</w:t>
            </w:r>
          </w:p>
        </w:tc>
        <w:tc>
          <w:tcPr>
            <w:tcW w:type="dxa" w:w="6747"/>
            <w:tcBorders>
              <w:top w:val="single" w:color="D8D4C8" w:sz="4"/>
              <w:left w:val="single" w:color="D8D4C8" w:sz="4"/>
              <w:bottom w:val="single" w:color="D8D4C8" w:sz="4"/>
              <w:right w:val="single" w:color="D8D4C8" w:sz="4"/>
            </w:tcBorders>
            <w:shd w:fill="FFF8E1" w:color="auto" w:val="clear"/>
            <w:tcMar>
              <w:top w:type="dxa" w:w="70"/>
              <w:left w:type="dxa" w:w="90"/>
              <w:bottom w:type="dxa" w:w="70"/>
              <w:right w:type="dxa" w:w="90"/>
            </w:tcMar>
          </w:tcPr>
          <w:p>
            <w:r>
              <w:rPr>
                <w:rFonts w:ascii="Arial" w:cs="Arial" w:eastAsia="Arial" w:hAnsi="Arial"/>
                <w:i/>
                <w:iCs/>
                <w:color w:val="6B6B5F"/>
                <w:sz w:val="20"/>
                <w:szCs w:val="20"/>
              </w:rPr>
              <w:t xml:space="preserve">[Ready / minor fixes / blocking issues]</w:t>
            </w:r>
          </w:p>
        </w:tc>
      </w:tr>
      <w:tr>
        <w:trPr>
          <w:cantSplit/>
        </w:trPr>
        <w:tc>
          <w:tcPr>
            <w:tcW w:type="dxa" w:w="2891"/>
            <w:tcBorders>
              <w:top w:val="single" w:color="D8D4C8" w:sz="4"/>
              <w:left w:val="single" w:color="D8D4C8" w:sz="4"/>
              <w:bottom w:val="single" w:color="D8D4C8" w:sz="4"/>
              <w:right w:val="single" w:color="D8D4C8" w:sz="4"/>
            </w:tcBorders>
            <w:shd w:fill="EEEAE0" w:color="auto" w:val="clear"/>
            <w:tcMar>
              <w:top w:type="dxa" w:w="70"/>
              <w:left w:type="dxa" w:w="90"/>
              <w:bottom w:type="dxa" w:w="70"/>
              <w:right w:type="dxa" w:w="90"/>
            </w:tcMar>
          </w:tcPr>
          <w:p>
            <w:r>
              <w:rPr>
                <w:rFonts w:ascii="Arial" w:cs="Arial" w:eastAsia="Arial" w:hAnsi="Arial"/>
                <w:b/>
                <w:bCs/>
                <w:sz w:val="17"/>
                <w:szCs w:val="17"/>
              </w:rPr>
              <w:t xml:space="preserve">Reviewer and date</w:t>
            </w:r>
          </w:p>
        </w:tc>
        <w:tc>
          <w:tcPr>
            <w:tcW w:type="dxa" w:w="6747"/>
            <w:tcBorders>
              <w:top w:val="single" w:color="D8D4C8" w:sz="4"/>
              <w:left w:val="single" w:color="D8D4C8" w:sz="4"/>
              <w:bottom w:val="single" w:color="D8D4C8" w:sz="4"/>
              <w:right w:val="single" w:color="D8D4C8" w:sz="4"/>
            </w:tcBorders>
            <w:shd w:fill="FFF8E1" w:color="auto" w:val="clear"/>
            <w:tcMar>
              <w:top w:type="dxa" w:w="70"/>
              <w:left w:type="dxa" w:w="90"/>
              <w:bottom w:type="dxa" w:w="70"/>
              <w:right w:type="dxa" w:w="90"/>
            </w:tcMar>
          </w:tcPr>
          <w:p>
            <w:r>
              <w:rPr>
                <w:rFonts w:ascii="Arial" w:cs="Arial" w:eastAsia="Arial" w:hAnsi="Arial"/>
                <w:i/>
                <w:iCs/>
                <w:color w:val="6B6B5F"/>
                <w:sz w:val="20"/>
                <w:szCs w:val="20"/>
              </w:rPr>
              <w:t xml:space="preserve">[Name, DD/MM/YYYY]</w:t>
            </w:r>
          </w:p>
        </w:tc>
      </w:tr>
    </w:tbl>
    <w:p>
      <w:pPr>
        <w:pStyle w:val="Heading2"/>
        <w:spacing w:after="80" w:before="200"/>
      </w:pPr>
      <w:r>
        <w:rPr>
          <w:rFonts w:ascii="Arial" w:cs="Arial" w:eastAsia="Arial" w:hAnsi="Arial"/>
          <w:b/>
          <w:bCs/>
          <w:color w:val="1D6E5E"/>
          <w:sz w:val="22"/>
          <w:szCs w:val="22"/>
        </w:rPr>
        <w:t xml:space="preserve">Step 6. Authority submission (where required)</w:t>
      </w:r>
    </w:p>
    <w:p>
      <w:pPr>
        <w:spacing w:after="100" w:before="0"/>
      </w:pPr>
      <w:r>
        <w:rPr>
          <w:rFonts w:ascii="Arial" w:cs="Arial" w:eastAsia="Arial" w:hAnsi="Arial"/>
          <w:sz w:val="20"/>
          <w:szCs w:val="20"/>
        </w:rPr>
        <w:t xml:space="preserve">The importer submits the stickered pack for approval where the market requires it (Oman label approval; UAE label assessment). Record the approval reference and validity in the compliance calendar. Ship only the exact artwork that was approved.</w:t>
      </w:r>
    </w:p>
    <w:p>
      <w:pPr>
        <w:pStyle w:val="Heading2"/>
        <w:spacing w:after="80" w:before="200"/>
      </w:pPr>
      <w:r>
        <w:rPr>
          <w:rFonts w:ascii="Arial" w:cs="Arial" w:eastAsia="Arial" w:hAnsi="Arial"/>
          <w:b/>
          <w:bCs/>
          <w:color w:val="1D6E5E"/>
          <w:sz w:val="22"/>
          <w:szCs w:val="22"/>
        </w:rPr>
        <w:t xml:space="preserve">Step 7. Printer's proof sign-off</w:t>
      </w:r>
    </w:p>
    <w:p>
      <w:pPr>
        <w:spacing w:after="100" w:before="0"/>
      </w:pPr>
      <w:r>
        <w:rPr>
          <w:rFonts w:ascii="Arial" w:cs="Arial" w:eastAsia="Arial" w:hAnsi="Arial"/>
          <w:sz w:val="20"/>
          <w:szCs w:val="20"/>
        </w:rPr>
        <w:t xml:space="preserve">Before mass printing, check a physical proof or photo of it for Arabic letter joining, right-to-left order, numerals and legibility at real size. Fonts must be embedded or outlined in the print file.</w:t>
      </w:r>
    </w:p>
    <w:p>
      <w:pPr>
        <w:pStyle w:val="Heading2"/>
        <w:spacing w:after="80" w:before="200"/>
      </w:pPr>
      <w:r>
        <w:rPr>
          <w:rFonts w:ascii="Arial" w:cs="Arial" w:eastAsia="Arial" w:hAnsi="Arial"/>
          <w:b/>
          <w:bCs/>
          <w:color w:val="1D6E5E"/>
          <w:sz w:val="22"/>
          <w:szCs w:val="22"/>
        </w:rPr>
        <w:t xml:space="preserve">Step 8. Release and records</w:t>
      </w:r>
    </w:p>
    <w:p>
      <w:pPr>
        <w:spacing w:after="100" w:before="0"/>
      </w:pPr>
      <w:r>
        <w:rPr>
          <w:rFonts w:ascii="Arial" w:cs="Arial" w:eastAsia="Arial" w:hAnsi="Arial"/>
          <w:sz w:val="20"/>
          <w:szCs w:val="20"/>
        </w:rPr>
        <w:t xml:space="preserve">Keep, for each SKU, pack size and market: the approved artwork (version-numbered PDF), the compliance review, authority approvals, supplier documents and the printer's proof. Keep records for [X] years.</w:t>
      </w:r>
    </w:p>
    <w:p>
      <w:pPr>
        <w:pStyle w:val="Heading2"/>
        <w:spacing w:after="80" w:before="200"/>
      </w:pPr>
      <w:r>
        <w:rPr>
          <w:rFonts w:ascii="Arial" w:cs="Arial" w:eastAsia="Arial" w:hAnsi="Arial"/>
          <w:b/>
          <w:bCs/>
          <w:color w:val="1D6E5E"/>
          <w:sz w:val="22"/>
          <w:szCs w:val="22"/>
        </w:rPr>
        <w:t xml:space="preserve">Step 9. Change control</w:t>
      </w:r>
    </w:p>
    <w:p>
      <w:pPr>
        <w:spacing w:after="100" w:before="0"/>
      </w:pPr>
      <w:r>
        <w:rPr>
          <w:rFonts w:ascii="Arial" w:cs="Arial" w:eastAsia="Arial" w:hAnsi="Arial"/>
          <w:sz w:val="20"/>
          <w:szCs w:val="20"/>
        </w:rPr>
        <w:t xml:space="preserve">Repeat Steps 3 to 8 before shipping if anything changes: ingredients, recipe, pack size, weight, barcode, claims, artwork or a referenced standard.</w:t>
      </w:r>
    </w:p>
    <w:p>
      <w:pPr>
        <w:pStyle w:val="ListParagraph"/>
        <w:numPr>
          <w:ilvl w:val="0"/>
          <w:numId w:val="2"/>
        </w:numPr>
        <w:spacing w:after="50"/>
      </w:pPr>
      <w:r>
        <w:rPr>
          <w:rFonts w:ascii="Arial" w:cs="Arial" w:eastAsia="Arial" w:hAnsi="Arial"/>
          <w:sz w:val="20"/>
          <w:szCs w:val="20"/>
        </w:rPr>
        <w:t xml:space="preserve">Oman: label approval is valid 5 years unless data, ingredients or the standard change (MD 69/2024 Art. 9) [Official text].</w:t>
      </w:r>
    </w:p>
    <w:p>
      <w:pPr>
        <w:pStyle w:val="ListParagraph"/>
        <w:numPr>
          <w:ilvl w:val="0"/>
          <w:numId w:val="2"/>
        </w:numPr>
        <w:spacing w:after="50"/>
      </w:pPr>
      <w:r>
        <w:rPr>
          <w:rFonts w:ascii="Arial" w:cs="Arial" w:eastAsia="Arial" w:hAnsi="Arial"/>
          <w:sz w:val="20"/>
          <w:szCs w:val="20"/>
        </w:rPr>
        <w:t xml:space="preserve">UAE: any change to package, weight, label or barcode needs a new label assessment [Official summary].</w:t>
      </w:r>
    </w:p>
    <w:p>
      <w:pPr>
        <w:pStyle w:val="Heading2"/>
        <w:spacing w:after="80" w:before="200"/>
      </w:pPr>
      <w:r>
        <w:rPr>
          <w:rFonts w:ascii="Arial" w:cs="Arial" w:eastAsia="Arial" w:hAnsi="Arial"/>
          <w:b/>
          <w:bCs/>
          <w:color w:val="1D6E5E"/>
          <w:sz w:val="22"/>
          <w:szCs w:val="22"/>
        </w:rPr>
        <w:t xml:space="preserve">Step 10. Monitor rule changes</w:t>
      </w:r>
    </w:p>
    <w:p>
      <w:pPr>
        <w:spacing w:after="100" w:before="0"/>
      </w:pPr>
      <w:r>
        <w:rPr>
          <w:rFonts w:ascii="Arial" w:cs="Arial" w:eastAsia="Arial" w:hAnsi="Arial"/>
          <w:sz w:val="20"/>
          <w:szCs w:val="20"/>
        </w:rPr>
        <w:t xml:space="preserve">The regulatory owner tracks regulatory updates for each market (e.g. new GSO allergen and nutrition-labelling regulations whose national enforcement dates are not yet published) and triggers Step 9 when a change affects a SKU.</w:t>
      </w:r>
    </w:p>
    <w:p>
      <w:pPr>
        <w:pStyle w:val="Heading1"/>
        <w:spacing w:after="120" w:before="280"/>
      </w:pPr>
      <w:r>
        <w:rPr>
          <w:rFonts w:ascii="Arial" w:cs="Arial" w:eastAsia="Arial" w:hAnsi="Arial"/>
          <w:b/>
          <w:bCs/>
          <w:color w:val="1A1A18"/>
          <w:sz w:val="28"/>
          <w:szCs w:val="28"/>
        </w:rPr>
        <w:t xml:space="preserve">4. Revision history</w:t>
      </w:r>
    </w:p>
    <w:tbl>
      <w:tblPr>
        <w:tblW w:type="dxa" w:w="9638"/>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1446"/>
        <w:gridCol w:w="1928"/>
        <w:gridCol w:w="6264"/>
      </w:tblGrid>
      <w:tr>
        <w:trPr>
          <w:tblHeader/>
        </w:trPr>
        <w:tc>
          <w:tcPr>
            <w:tcW w:type="dxa" w:w="1446"/>
            <w:tcBorders>
              <w:top w:val="single" w:color="D8D4C8" w:sz="4"/>
              <w:left w:val="single" w:color="D8D4C8" w:sz="4"/>
              <w:bottom w:val="single" w:color="D8D4C8" w:sz="4"/>
              <w:right w:val="single" w:color="D8D4C8" w:sz="4"/>
            </w:tcBorders>
            <w:shd w:fill="1A1A18" w:color="auto" w:val="clear"/>
            <w:tcMar>
              <w:top w:type="dxa" w:w="70"/>
              <w:left w:type="dxa" w:w="90"/>
              <w:bottom w:type="dxa" w:w="70"/>
              <w:right w:type="dxa" w:w="90"/>
            </w:tcMar>
          </w:tcPr>
          <w:p>
            <w:r>
              <w:rPr>
                <w:rFonts w:ascii="Arial" w:cs="Arial" w:eastAsia="Arial" w:hAnsi="Arial"/>
                <w:b/>
                <w:bCs/>
                <w:color w:val="FFFFFF"/>
                <w:sz w:val="17"/>
                <w:szCs w:val="17"/>
              </w:rPr>
              <w:t xml:space="preserve">Version</w:t>
            </w:r>
          </w:p>
        </w:tc>
        <w:tc>
          <w:tcPr>
            <w:tcW w:type="dxa" w:w="1928"/>
            <w:tcBorders>
              <w:top w:val="single" w:color="D8D4C8" w:sz="4"/>
              <w:left w:val="single" w:color="D8D4C8" w:sz="4"/>
              <w:bottom w:val="single" w:color="D8D4C8" w:sz="4"/>
              <w:right w:val="single" w:color="D8D4C8" w:sz="4"/>
            </w:tcBorders>
            <w:shd w:fill="1A1A18" w:color="auto" w:val="clear"/>
            <w:tcMar>
              <w:top w:type="dxa" w:w="70"/>
              <w:left w:type="dxa" w:w="90"/>
              <w:bottom w:type="dxa" w:w="70"/>
              <w:right w:type="dxa" w:w="90"/>
            </w:tcMar>
          </w:tcPr>
          <w:p>
            <w:r>
              <w:rPr>
                <w:rFonts w:ascii="Arial" w:cs="Arial" w:eastAsia="Arial" w:hAnsi="Arial"/>
                <w:b/>
                <w:bCs/>
                <w:color w:val="FFFFFF"/>
                <w:sz w:val="17"/>
                <w:szCs w:val="17"/>
              </w:rPr>
              <w:t xml:space="preserve">Date</w:t>
            </w:r>
          </w:p>
        </w:tc>
        <w:tc>
          <w:tcPr>
            <w:tcW w:type="dxa" w:w="6264"/>
            <w:tcBorders>
              <w:top w:val="single" w:color="D8D4C8" w:sz="4"/>
              <w:left w:val="single" w:color="D8D4C8" w:sz="4"/>
              <w:bottom w:val="single" w:color="D8D4C8" w:sz="4"/>
              <w:right w:val="single" w:color="D8D4C8" w:sz="4"/>
            </w:tcBorders>
            <w:shd w:fill="1A1A18" w:color="auto" w:val="clear"/>
            <w:tcMar>
              <w:top w:type="dxa" w:w="70"/>
              <w:left w:type="dxa" w:w="90"/>
              <w:bottom w:type="dxa" w:w="70"/>
              <w:right w:type="dxa" w:w="90"/>
            </w:tcMar>
          </w:tcPr>
          <w:p>
            <w:r>
              <w:rPr>
                <w:rFonts w:ascii="Arial" w:cs="Arial" w:eastAsia="Arial" w:hAnsi="Arial"/>
                <w:b/>
                <w:bCs/>
                <w:color w:val="FFFFFF"/>
                <w:sz w:val="17"/>
                <w:szCs w:val="17"/>
              </w:rPr>
              <w:t xml:space="preserve">Change</w:t>
            </w:r>
          </w:p>
        </w:tc>
      </w:tr>
      <w:tr>
        <w:trPr>
          <w:cantSplit/>
        </w:trPr>
        <w:tc>
          <w:tcPr>
            <w:tcW w:type="dxa" w:w="1446"/>
            <w:tcBorders>
              <w:top w:val="single" w:color="D8D4C8" w:sz="4"/>
              <w:left w:val="single" w:color="D8D4C8" w:sz="4"/>
              <w:bottom w:val="single" w:color="D8D4C8" w:sz="4"/>
              <w:right w:val="single" w:color="D8D4C8" w:sz="4"/>
            </w:tcBorders>
            <w:tcMar>
              <w:top w:type="dxa" w:w="70"/>
              <w:left w:type="dxa" w:w="90"/>
              <w:bottom w:type="dxa" w:w="70"/>
              <w:right w:type="dxa" w:w="90"/>
            </w:tcMar>
          </w:tcPr>
          <w:p>
            <w:r>
              <w:rPr>
                <w:rFonts w:ascii="Arial" w:cs="Arial" w:eastAsia="Arial" w:hAnsi="Arial"/>
                <w:b w:val="false"/>
                <w:bCs w:val="false"/>
                <w:sz w:val="17"/>
                <w:szCs w:val="17"/>
              </w:rPr>
              <w:t xml:space="preserve">1.0</w:t>
            </w:r>
          </w:p>
        </w:tc>
        <w:tc>
          <w:tcPr>
            <w:tcW w:type="dxa" w:w="1928"/>
            <w:tcBorders>
              <w:top w:val="single" w:color="D8D4C8" w:sz="4"/>
              <w:left w:val="single" w:color="D8D4C8" w:sz="4"/>
              <w:bottom w:val="single" w:color="D8D4C8" w:sz="4"/>
              <w:right w:val="single" w:color="D8D4C8" w:sz="4"/>
            </w:tcBorders>
            <w:shd w:fill="FFF8E1" w:color="auto" w:val="clear"/>
            <w:tcMar>
              <w:top w:type="dxa" w:w="70"/>
              <w:left w:type="dxa" w:w="90"/>
              <w:bottom w:type="dxa" w:w="70"/>
              <w:right w:type="dxa" w:w="90"/>
            </w:tcMar>
          </w:tcPr>
          <w:p>
            <w:r>
              <w:rPr>
                <w:rFonts w:ascii="Arial" w:cs="Arial" w:eastAsia="Arial" w:hAnsi="Arial"/>
                <w:i/>
                <w:iCs/>
                <w:color w:val="6B6B5F"/>
                <w:sz w:val="20"/>
                <w:szCs w:val="20"/>
              </w:rPr>
              <w:t xml:space="preserve">[DD/MM/YYYY]</w:t>
            </w:r>
          </w:p>
        </w:tc>
        <w:tc>
          <w:tcPr>
            <w:tcW w:type="dxa" w:w="6264"/>
            <w:tcBorders>
              <w:top w:val="single" w:color="D8D4C8" w:sz="4"/>
              <w:left w:val="single" w:color="D8D4C8" w:sz="4"/>
              <w:bottom w:val="single" w:color="D8D4C8" w:sz="4"/>
              <w:right w:val="single" w:color="D8D4C8" w:sz="4"/>
            </w:tcBorders>
            <w:shd w:fill="FFF8E1" w:color="auto" w:val="clear"/>
            <w:tcMar>
              <w:top w:type="dxa" w:w="70"/>
              <w:left w:type="dxa" w:w="90"/>
              <w:bottom w:type="dxa" w:w="70"/>
              <w:right w:type="dxa" w:w="90"/>
            </w:tcMar>
          </w:tcPr>
          <w:p>
            <w:r>
              <w:rPr>
                <w:rFonts w:ascii="Arial" w:cs="Arial" w:eastAsia="Arial" w:hAnsi="Arial"/>
                <w:b w:val="false"/>
                <w:bCs w:val="false"/>
                <w:sz w:val="17"/>
                <w:szCs w:val="17"/>
              </w:rPr>
              <w:t xml:space="preserve">First issue</w:t>
            </w:r>
          </w:p>
        </w:tc>
      </w:tr>
    </w:tbl>
    <w:p>
      <w:pPr>
        <w:pStyle w:val="Heading1"/>
        <w:spacing w:after="120" w:before="280"/>
      </w:pPr>
      <w:r>
        <w:rPr>
          <w:rFonts w:ascii="Arial" w:cs="Arial" w:eastAsia="Arial" w:hAnsi="Arial"/>
          <w:b/>
          <w:bCs/>
          <w:color w:val="1A1A18"/>
          <w:sz w:val="28"/>
          <w:szCs w:val="28"/>
        </w:rPr>
        <w:t xml:space="preserve">5. Sources</w:t>
      </w:r>
    </w:p>
    <w:p>
      <w:pPr>
        <w:pStyle w:val="ListParagraph"/>
        <w:numPr>
          <w:ilvl w:val="0"/>
          <w:numId w:val="2"/>
        </w:numPr>
        <w:spacing w:after="50"/>
      </w:pPr>
      <w:r>
        <w:rPr>
          <w:rFonts w:ascii="Arial" w:cs="Arial" w:eastAsia="Arial" w:hAnsi="Arial"/>
          <w:sz w:val="20"/>
          <w:szCs w:val="20"/>
        </w:rPr>
        <w:t xml:space="preserve">Kuwait: PAFN Ministerial Resolution No. 6 of 2023 regarding the Regulation of Imported Food (pafn.gov.kw).</w:t>
      </w:r>
    </w:p>
    <w:p>
      <w:pPr>
        <w:pStyle w:val="ListParagraph"/>
        <w:numPr>
          <w:ilvl w:val="0"/>
          <w:numId w:val="2"/>
        </w:numPr>
        <w:spacing w:after="50"/>
      </w:pPr>
      <w:r>
        <w:rPr>
          <w:rFonts w:ascii="Arial" w:cs="Arial" w:eastAsia="Arial" w:hAnsi="Arial"/>
          <w:sz w:val="20"/>
          <w:szCs w:val="20"/>
        </w:rPr>
        <w:t xml:space="preserve">Bahrain: Ministry of Health, Food Importers Guide to the Kingdom of Bahrain; General Restriction and Requirements Relevant to Prepackaged Food Stuffs Labels (moh.gov.bh).</w:t>
      </w:r>
    </w:p>
    <w:p>
      <w:pPr>
        <w:pStyle w:val="ListParagraph"/>
        <w:numPr>
          <w:ilvl w:val="0"/>
          <w:numId w:val="2"/>
        </w:numPr>
        <w:spacing w:after="50"/>
      </w:pPr>
      <w:r>
        <w:rPr>
          <w:rFonts w:ascii="Arial" w:cs="Arial" w:eastAsia="Arial" w:hAnsi="Arial"/>
          <w:sz w:val="20"/>
          <w:szCs w:val="20"/>
        </w:rPr>
        <w:t xml:space="preserve">Oman: Ministerial Decision No. 69/2024, Regulation on Food Registration and Food Advertising or Promotion, in force 1 January 2025 (qanoon.om).</w:t>
      </w:r>
    </w:p>
    <w:p>
      <w:pPr>
        <w:pStyle w:val="ListParagraph"/>
        <w:numPr>
          <w:ilvl w:val="0"/>
          <w:numId w:val="2"/>
        </w:numPr>
        <w:spacing w:after="50"/>
      </w:pPr>
      <w:r>
        <w:rPr>
          <w:rFonts w:ascii="Arial" w:cs="Arial" w:eastAsia="Arial" w:hAnsi="Arial"/>
          <w:sz w:val="20"/>
          <w:szCs w:val="20"/>
        </w:rPr>
        <w:t xml:space="preserve">UAE: Cabinet Resolution No. 26 of 2017 (executive regulation of Federal Law No. 10 of 2015 on Food Safety); USDA FAS FAIRS Country Report UAE, TC2025-0008, 21 November 2025.</w:t>
      </w:r>
    </w:p>
    <w:p>
      <w:pPr>
        <w:pStyle w:val="ListParagraph"/>
        <w:numPr>
          <w:ilvl w:val="0"/>
          <w:numId w:val="2"/>
        </w:numPr>
        <w:spacing w:after="50"/>
      </w:pPr>
      <w:r>
        <w:rPr>
          <w:rFonts w:ascii="Arial" w:cs="Arial" w:eastAsia="Arial" w:hAnsi="Arial"/>
          <w:sz w:val="20"/>
          <w:szCs w:val="20"/>
        </w:rPr>
        <w:t xml:space="preserve">GCC: GSO 9 Labeling of Prepackaged Food Stuffs (incl. clause 7.2.2.1 on stickers, as quoted in USDA FAS FAIRS Saudi Arabia SA2025-0013); GSO 2810 Food Allergens; GSO 2233 Nutritional Labeling.</w:t>
      </w:r>
    </w:p>
    <w:p>
      <w:pPr>
        <w:spacing w:after="60" w:before="0"/>
      </w:pPr>
      <w:r>
        <w:rPr>
          <w:rFonts w:ascii="Arial" w:cs="Arial" w:eastAsia="Arial" w:hAnsi="Arial"/>
          <w:sz w:val="20"/>
          <w:szCs w:val="20"/>
        </w:rPr>
        <w:t xml:space="preserve"/>
      </w:r>
    </w:p>
    <w:p>
      <w:pPr>
        <w:spacing w:after="120" w:before="0"/>
      </w:pPr>
      <w:r>
        <w:rPr>
          <w:rFonts w:ascii="Arial" w:cs="Arial" w:eastAsia="Arial" w:hAnsi="Arial"/>
          <w:i/>
          <w:iCs/>
          <w:color w:val="6B6B5F"/>
          <w:sz w:val="17"/>
          <w:szCs w:val="17"/>
        </w:rPr>
        <w:t xml:space="preserve">Template prepared by MutabiqAlerts, checked against the sources listed on 22 October 2026. Regulatory information only, not legal advice. Requirements change: confirm with the competent authority and your importer before relying on it. GSO standards are copyrighted by their publisher and are referenced by number and title only. Licence: free to copy and adapt for your own company's internal use; not for resale or republication. Provided as-is under the MutabiqAlerts Terms of Use (mutabiqalerts.com/terms.html).</w:t>
      </w:r>
    </w:p>
    <w:sectPr>
      <w:headerReference w:type="default" r:id="rId7"/>
      <w:footerReference w:type="default" r:id="rId8"/>
      <w:pgSz w:w="11906" w:h="16838" w:orient="portrait"/>
      <w:pgMar w:top="1134" w:right="1134" w:bottom="1134" w:left="1134"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Arial" w:cs="Arial" w:eastAsia="Arial" w:hAnsi="Arial"/>
        <w:color w:val="6B6B5F"/>
        <w:sz w:val="15"/>
        <w:szCs w:val="15"/>
      </w:rPr>
      <w:t xml:space="preserve">mutabiqalerts.com  ·  Not legal advice  ·  Page </w:t>
    </w:r>
    <w:r>
      <w:rPr>
        <w:rFonts w:ascii="Arial" w:cs="Arial" w:eastAsia="Arial" w:hAnsi="Arial"/>
        <w:color w:val="6B6B5F"/>
        <w:sz w:val="15"/>
        <w:szCs w:val="15"/>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spacing w:after="100" w:before="0"/>
      <w:jc w:val="right"/>
    </w:pPr>
    <w:r>
      <w:rPr>
        <w:rFonts w:ascii="Arial" w:cs="Arial" w:eastAsia="Arial" w:hAnsi="Arial"/>
        <w:color w:val="6B6B5F"/>
        <w:sz w:val="15"/>
        <w:szCs w:val="15"/>
      </w:rPr>
      <w:t xml:space="preserve">MutabiqAlerts · Label Approval SOP</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360" w:hanging="260"/>
      </w:pPr>
    </w:lvl>
  </w:abstractNum>
  <w:abstractNum w:abstractNumId="3" w15:restartNumberingAfterBreak="0">
    <w:multiLevelType w:val="hybridMultilevel"/>
    <w:lvl w:ilvl="0" w15:tentative="1">
      <w:start w:val="1"/>
      <w:numFmt w:val="decimal"/>
      <w:lvlText w:val="%1."/>
      <w:lvlJc w:val="left"/>
      <w:pPr>
        <w:ind w:left="360" w:hanging="30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0"/>
        <w:szCs w:val="20"/>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Label Approval SOP</dc:title>
  <dc:creator>MutabiqAlerts</dc:creator>
  <cp:lastModifiedBy>Un-named</cp:lastModifiedBy>
  <cp:revision>1</cp:revision>
  <dcterms:created xsi:type="dcterms:W3CDTF">2026-10-22T11:04:30.346Z</dcterms:created>
  <dcterms:modified xsi:type="dcterms:W3CDTF">2026-10-22T11:04:30.347Z</dcterms:modified>
</cp:coreProperties>
</file>

<file path=docProps/custom.xml><?xml version="1.0" encoding="utf-8"?>
<Properties xmlns="http://schemas.openxmlformats.org/officeDocument/2006/custom-properties" xmlns:vt="http://schemas.openxmlformats.org/officeDocument/2006/docPropsVTypes"/>
</file>